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Dyscover parser fixture</w:t>
      </w:r>
    </w:p>
    <w:p>
      <w:r>
        <w:t>Dyscover parser fixture. Fixture ID: S2-DOCX. This identifier is test metadata, not a course requirement.</w:t>
      </w:r>
    </w:p>
    <w:p>
      <w:r>
        <w:t>Derived from week-05-lecture.pdf, PDF page 15. The original PDF remains authoritative.</w:t>
      </w:r>
    </w:p>
    <w:p/>
    <w:p>
      <w:r>
        <w:t>CompletableFuture.supplyAsync(supplier) runs a supplier on a worker thread and returns a handle immediately. thenApply transforms a result; thenAccept consumes it; thenCompose chains another asynchronous call; exceptionally recovers from failure. join() and get() block the caller until the result is ready.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