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Dyscover parser fixture</w:t>
      </w:r>
    </w:p>
    <w:p>
      <w:r>
        <w:t>Dyscover parser fixture. Fixture ID: S3-DOCX. This identifier is test metadata, not a course requirement.</w:t>
      </w:r>
    </w:p>
    <w:p>
      <w:r>
        <w:t>Derived from week-04-lab-student.pdf, PDF page 3. The original PDF remains authoritative.</w:t>
      </w:r>
    </w:p>
    <w:p/>
    <w:p>
      <w:r>
        <w:t>Week 4 storage stays in-memory; file persistence is Week 5. Core mappings: MethodArgumentNotValidException → 400 VALIDATION_FAILED with field errors; HttpMessageNotReadableException → 400 MALFORMED_REQUEST; OrderNotFoundException → 404 ORDER_NOT_FOUND; DuplicateOrderException → 409 DUPLICATE_ORDER. A catch-all 500 INTERNAL_ERROR handler is a stretch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