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olor w:val="000000"/>
          <w:sz w:val="24"/>
          <w:szCs w:val="24"/>
        </w:rPr>
        <w:t xml:space="preserve">UNIVERSIDAD TECNOLÓGICA METROPOLITANA</w:t>
      </w:r>
    </w:p>
    <w:p>
      <w:pPr>
        <w:spacing w:after="40"/>
        <w:jc w:val="center"/>
      </w:pPr>
      <w:r>
        <w:rPr>
          <w:rFonts w:ascii="Calibri" w:cs="Calibri" w:eastAsia="Calibri" w:hAnsi="Calibri"/>
          <w:color w:val="000000"/>
          <w:sz w:val="20"/>
          <w:szCs w:val="20"/>
        </w:rPr>
        <w:t xml:space="preserve">Facultad de Ingeniería · Departamento de Informática y Computación</w:t>
      </w:r>
    </w:p>
    <w:p>
      <w:pPr>
        <w:spacing w:after="900"/>
        <w:jc w:val="center"/>
      </w:pPr>
      <w:r>
        <w:rPr>
          <w:rFonts w:ascii="Calibri" w:cs="Calibri" w:eastAsia="Calibri" w:hAnsi="Calibri"/>
          <w:color w:val="000000"/>
          <w:sz w:val="20"/>
          <w:szCs w:val="20"/>
        </w:rPr>
        <w:t xml:space="preserve">Gestión de Proyectos Informáticos (GPI 2026-II) · Secciones 411 y 301</w:t>
      </w:r>
    </w:p>
    <w:p>
      <w:pPr>
        <w:spacing w:after="200"/>
        <w:jc w:val="center"/>
      </w:pPr>
      <w:r>
        <w:rPr>
          <w:rFonts w:ascii="Calibri" w:cs="Calibri" w:eastAsia="Calibri" w:hAnsi="Calibri"/>
          <w:b/>
          <w:bCs/>
          <w:color w:val="000000"/>
          <w:sz w:val="36"/>
          <w:szCs w:val="36"/>
        </w:rPr>
        <w:t xml:space="preserve">Taller Arquitectura y ERV Parte 2</w:t>
      </w:r>
    </w:p>
    <w:p>
      <w:pPr>
        <w:spacing w:after="600"/>
        <w:jc w:val="center"/>
      </w:pPr>
      <w:r>
        <w:rPr>
          <w:rFonts w:ascii="Calibri" w:cs="Calibri" w:eastAsia="Calibri" w:hAnsi="Calibri"/>
          <w:b/>
          <w:bCs/>
          <w:color w:val="000000"/>
          <w:sz w:val="28"/>
          <w:szCs w:val="28"/>
        </w:rPr>
        <w:t xml:space="preserve">Informe de Arquitectura y Evaluación de Rentabilidad y Viabilidad (ERV)</w:t>
      </w:r>
    </w:p>
    <w:p>
      <w:pPr>
        <w:spacing w:after="80"/>
        <w:jc w:val="center"/>
      </w:pPr>
      <w:r>
        <w:rPr>
          <w:rFonts w:ascii="Calibri" w:cs="Calibri" w:eastAsia="Calibri" w:hAnsi="Calibri"/>
          <w:b/>
          <w:bCs/>
          <w:color w:val="000000"/>
          <w:sz w:val="24"/>
          <w:szCs w:val="24"/>
        </w:rPr>
        <w:t xml:space="preserve">Proyecto WellQ Admin Site (v2)</w:t>
      </w:r>
    </w:p>
    <w:p>
      <w:pPr>
        <w:spacing w:after="600"/>
        <w:jc w:val="center"/>
      </w:pPr>
      <w:r>
        <w:rPr>
          <w:rFonts w:ascii="Calibri" w:cs="Calibri" w:eastAsia="Calibri" w:hAnsi="Calibri"/>
          <w:color w:val="000000"/>
          <w:sz w:val="22"/>
          <w:szCs w:val="22"/>
        </w:rPr>
        <w:t xml:space="preserve">Cliente socio formador: Alloxentric SpA · Equipo Corestream UWAS_12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Dato</w:t>
            </w:r>
          </w:p>
        </w:tc>
        <w:tc>
          <w:tcPr>
            <w:tcW w:type="dxa" w:w="624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Detalle</w:t>
            </w:r>
          </w:p>
        </w:tc>
      </w:tr>
      <w:tr>
        <w:trPr>
          <w:cantSplit/>
          <w:tblHeader w:val="false"/>
        </w:trPr>
        <w:tc>
          <w:tcPr>
            <w:tcW w:type="dxa" w:w="312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bCs/>
                <w:color w:val="000000"/>
                <w:sz w:val="18"/>
                <w:szCs w:val="18"/>
              </w:rPr>
              <w:t xml:space="preserve">Docente</w:t>
            </w:r>
          </w:p>
        </w:tc>
        <w:tc>
          <w:tcPr>
            <w:tcW w:type="dxa" w:w="624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Dr. Oscar Eduardo Magna Veloso</w:t>
            </w:r>
          </w:p>
        </w:tc>
      </w:tr>
      <w:tr>
        <w:trPr>
          <w:cantSplit/>
          <w:tblHeader w:val="false"/>
        </w:trPr>
        <w:tc>
          <w:tcPr>
            <w:tcW w:type="dxa" w:w="312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bCs/>
                <w:color w:val="000000"/>
                <w:sz w:val="18"/>
                <w:szCs w:val="18"/>
              </w:rPr>
              <w:t xml:space="preserve">Integrantes</w:t>
            </w:r>
          </w:p>
        </w:tc>
        <w:tc>
          <w:tcPr>
            <w:tcW w:type="dxa" w:w="624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Cristóbal Faúndez, Agustín Zúñiga, Bastián González, Favio Muñoz</w:t>
            </w:r>
          </w:p>
        </w:tc>
      </w:tr>
      <w:tr>
        <w:trPr>
          <w:cantSplit/>
          <w:tblHeader w:val="false"/>
        </w:trPr>
        <w:tc>
          <w:tcPr>
            <w:tcW w:type="dxa" w:w="312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bCs/>
                <w:color w:val="000000"/>
                <w:sz w:val="18"/>
                <w:szCs w:val="18"/>
              </w:rPr>
              <w:t xml:space="preserve">Fecha de entrega</w:t>
            </w:r>
          </w:p>
        </w:tc>
        <w:tc>
          <w:tcPr>
            <w:tcW w:type="dxa" w:w="624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28 de octubre de 2026</w:t>
            </w:r>
          </w:p>
        </w:tc>
      </w:tr>
      <w:tr>
        <w:trPr>
          <w:cantSplit/>
          <w:tblHeader w:val="false"/>
        </w:trPr>
        <w:tc>
          <w:tcPr>
            <w:tcW w:type="dxa" w:w="312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bCs/>
                <w:color w:val="000000"/>
                <w:sz w:val="18"/>
                <w:szCs w:val="18"/>
              </w:rPr>
              <w:t xml:space="preserve">Carpeta Drive</w:t>
            </w:r>
          </w:p>
        </w:tc>
        <w:tc>
          <w:tcPr>
            <w:tcW w:type="dxa" w:w="624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https://drive.google.com/drive/folders/1fVN1yfBFDXt_An_ZTyzueJ9zhAbmBaEd?usp=drive_link (ruta /GPI-Taller Arquitectura/, acceso prioritario: omagna@utem.cl)</w:t>
            </w:r>
          </w:p>
        </w:tc>
      </w:tr>
      <w:tr>
        <w:trPr>
          <w:cantSplit/>
          <w:tblHeader w:val="false"/>
        </w:trPr>
        <w:tc>
          <w:tcPr>
            <w:tcW w:type="dxa" w:w="312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bCs/>
                <w:color w:val="000000"/>
                <w:sz w:val="18"/>
                <w:szCs w:val="18"/>
              </w:rPr>
              <w:t xml:space="preserve">Repositorio</w:t>
            </w:r>
          </w:p>
        </w:tc>
        <w:tc>
          <w:tcPr>
            <w:tcW w:type="dxa" w:w="624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https://github.com/StayWithCris/wellq-admin-site (rama principal, ruta /docs/erv/)</w:t>
            </w:r>
          </w:p>
        </w:tc>
      </w:tr>
    </w:tbl>
    <w:p>
      <w:r>
        <w:br w:type="page"/>
      </w:r>
    </w:p>
    <w:p>
      <w:pPr>
        <w:pStyle w:val="Heading1"/>
        <w:spacing w:after="160" w:before="320"/>
      </w:pPr>
      <w:r>
        <w:rPr>
          <w:rFonts w:ascii="Calibri" w:cs="Calibri" w:eastAsia="Calibri" w:hAnsi="Calibri"/>
          <w:b/>
          <w:bCs/>
          <w:color w:val="000000"/>
          <w:sz w:val="32"/>
          <w:szCs w:val="32"/>
        </w:rPr>
        <w:t xml:space="preserve">Contenido</w:t>
      </w:r>
    </w:p>
    <w:p>
      <w:pPr>
        <w:spacing w:after="60"/>
      </w:pPr>
      <w:r>
        <w:rPr>
          <w:rFonts w:ascii="Calibri" w:cs="Calibri" w:eastAsia="Calibri" w:hAnsi="Calibri"/>
          <w:b/>
          <w:bCs/>
          <w:color w:val="000000"/>
          <w:sz w:val="20"/>
          <w:szCs w:val="20"/>
        </w:rPr>
        <w:t xml:space="preserve">Resumen ejecutivo</w:t>
      </w:r>
    </w:p>
    <w:p>
      <w:pPr>
        <w:spacing w:after="60"/>
      </w:pPr>
      <w:r>
        <w:rPr>
          <w:rFonts w:ascii="Calibri" w:cs="Calibri" w:eastAsia="Calibri" w:hAnsi="Calibri"/>
          <w:b/>
          <w:bCs/>
          <w:color w:val="000000"/>
          <w:sz w:val="20"/>
          <w:szCs w:val="20"/>
        </w:rPr>
        <w:t xml:space="preserve">1. Alcance y supuestos operativos</w:t>
      </w:r>
    </w:p>
    <w:p>
      <w:pPr>
        <w:spacing w:after="60"/>
      </w:pPr>
      <w:r>
        <w:rPr>
          <w:rFonts w:ascii="Calibri" w:cs="Calibri" w:eastAsia="Calibri" w:hAnsi="Calibri"/>
          <w:b/>
          <w:bCs/>
          <w:color w:val="000000"/>
          <w:sz w:val="20"/>
          <w:szCs w:val="20"/>
        </w:rPr>
        <w:t xml:space="preserve">Capítulo I. Arquitectura</w:t>
      </w:r>
    </w:p>
    <w:p>
      <w:pPr>
        <w:spacing w:after="60"/>
      </w:pPr>
      <w:r>
        <w:rPr>
          <w:rFonts w:ascii="Calibri" w:cs="Calibri" w:eastAsia="Calibri" w:hAnsi="Calibri"/>
          <w:b w:val="false"/>
          <w:bCs w:val="false"/>
          <w:color w:val="000000"/>
          <w:sz w:val="20"/>
          <w:szCs w:val="20"/>
        </w:rPr>
        <w:t xml:space="preserve">   2. Modelo C4 consolidado (versión corregida)</w:t>
      </w:r>
    </w:p>
    <w:p>
      <w:pPr>
        <w:spacing w:after="60"/>
      </w:pPr>
      <w:r>
        <w:rPr>
          <w:rFonts w:ascii="Calibri" w:cs="Calibri" w:eastAsia="Calibri" w:hAnsi="Calibri"/>
          <w:b w:val="false"/>
          <w:bCs w:val="false"/>
          <w:color w:val="000000"/>
          <w:sz w:val="20"/>
          <w:szCs w:val="20"/>
        </w:rPr>
        <w:t xml:space="preserve">   3. Pipeline MLOps y servicios de inferencia</w:t>
      </w:r>
    </w:p>
    <w:p>
      <w:pPr>
        <w:spacing w:after="60"/>
      </w:pPr>
      <w:r>
        <w:rPr>
          <w:rFonts w:ascii="Calibri" w:cs="Calibri" w:eastAsia="Calibri" w:hAnsi="Calibri"/>
          <w:b/>
          <w:bCs/>
          <w:color w:val="000000"/>
          <w:sz w:val="20"/>
          <w:szCs w:val="20"/>
        </w:rPr>
        <w:t xml:space="preserve">Capítulo II. Evaluación Técnica y Económica (ERV) e incidente de cátedra</w:t>
      </w:r>
    </w:p>
    <w:p>
      <w:pPr>
        <w:spacing w:after="60"/>
      </w:pPr>
      <w:r>
        <w:rPr>
          <w:rFonts w:ascii="Calibri" w:cs="Calibri" w:eastAsia="Calibri" w:hAnsi="Calibri"/>
          <w:b w:val="false"/>
          <w:bCs w:val="false"/>
          <w:color w:val="000000"/>
          <w:sz w:val="20"/>
          <w:szCs w:val="20"/>
        </w:rPr>
        <w:t xml:space="preserve">   4. Resolución justificada del incidente de cátedra</w:t>
      </w:r>
    </w:p>
    <w:p>
      <w:pPr>
        <w:spacing w:after="60"/>
      </w:pPr>
      <w:r>
        <w:rPr>
          <w:rFonts w:ascii="Calibri" w:cs="Calibri" w:eastAsia="Calibri" w:hAnsi="Calibri"/>
          <w:b w:val="false"/>
          <w:bCs w:val="false"/>
          <w:color w:val="000000"/>
          <w:sz w:val="20"/>
          <w:szCs w:val="20"/>
        </w:rPr>
        <w:t xml:space="preserve">   5. Evaluación económica y financiera</w:t>
      </w:r>
    </w:p>
    <w:p>
      <w:pPr>
        <w:spacing w:after="60"/>
      </w:pPr>
      <w:r>
        <w:rPr>
          <w:rFonts w:ascii="Calibri" w:cs="Calibri" w:eastAsia="Calibri" w:hAnsi="Calibri"/>
          <w:b/>
          <w:bCs/>
          <w:color w:val="000000"/>
          <w:sz w:val="20"/>
          <w:szCs w:val="20"/>
        </w:rPr>
        <w:t xml:space="preserve">Capítulo III. Gestión del proyecto y control EVM</w:t>
      </w:r>
    </w:p>
    <w:p>
      <w:pPr>
        <w:spacing w:after="60"/>
      </w:pPr>
      <w:r>
        <w:rPr>
          <w:rFonts w:ascii="Calibri" w:cs="Calibri" w:eastAsia="Calibri" w:hAnsi="Calibri"/>
          <w:b w:val="false"/>
          <w:bCs w:val="false"/>
          <w:color w:val="000000"/>
          <w:sz w:val="20"/>
          <w:szCs w:val="20"/>
        </w:rPr>
        <w:t xml:space="preserve">   6. Estado de avance y trazabilidad Corestream</w:t>
      </w:r>
    </w:p>
    <w:p>
      <w:pPr>
        <w:spacing w:after="60"/>
      </w:pPr>
      <w:r>
        <w:rPr>
          <w:rFonts w:ascii="Calibri" w:cs="Calibri" w:eastAsia="Calibri" w:hAnsi="Calibri"/>
          <w:b/>
          <w:bCs/>
          <w:color w:val="000000"/>
          <w:sz w:val="20"/>
          <w:szCs w:val="20"/>
        </w:rPr>
        <w:t xml:space="preserve">7. Conclusiones</w:t>
      </w:r>
    </w:p>
    <w:p>
      <w:pPr>
        <w:spacing w:after="60"/>
      </w:pPr>
      <w:r>
        <w:rPr>
          <w:rFonts w:ascii="Calibri" w:cs="Calibri" w:eastAsia="Calibri" w:hAnsi="Calibri"/>
          <w:b/>
          <w:bCs/>
          <w:color w:val="000000"/>
          <w:sz w:val="20"/>
          <w:szCs w:val="20"/>
        </w:rPr>
        <w:t xml:space="preserve">Anexo A. Equipo y matriz RACI</w:t>
      </w:r>
    </w:p>
    <w:p>
      <w:pPr>
        <w:spacing w:after="60"/>
      </w:pPr>
      <w:r>
        <w:rPr>
          <w:rFonts w:ascii="Calibri" w:cs="Calibri" w:eastAsia="Calibri" w:hAnsi="Calibri"/>
          <w:b/>
          <w:bCs/>
          <w:color w:val="000000"/>
          <w:sz w:val="20"/>
          <w:szCs w:val="20"/>
        </w:rPr>
        <w:t xml:space="preserve">Anexo B. Enlaces del proyecto</w:t>
      </w:r>
    </w:p>
    <w:p>
      <w:r>
        <w:br w:type="page"/>
      </w:r>
    </w:p>
    <w:p>
      <w:pPr>
        <w:pStyle w:val="Heading1"/>
        <w:spacing w:after="160" w:before="320"/>
      </w:pPr>
      <w:r>
        <w:rPr>
          <w:rFonts w:ascii="Calibri" w:cs="Calibri" w:eastAsia="Calibri" w:hAnsi="Calibri"/>
          <w:b/>
          <w:bCs/>
          <w:color w:val="000000"/>
          <w:sz w:val="32"/>
          <w:szCs w:val="32"/>
        </w:rPr>
        <w:t xml:space="preserve">Resumen ejecutivo</w:t>
      </w:r>
    </w:p>
    <w:p>
      <w:pPr>
        <w:spacing w:after="120" w:line="276"/>
        <w:jc w:val="both"/>
      </w:pPr>
      <w:r>
        <w:rPr>
          <w:rFonts w:ascii="Calibri" w:cs="Calibri" w:eastAsia="Calibri" w:hAnsi="Calibri"/>
          <w:color w:val="000000"/>
          <w:sz w:val="20"/>
          <w:szCs w:val="20"/>
        </w:rPr>
        <w:t xml:space="preserve">WellQ Admin Site es la consola de administración y observabilidad de la plataforma WellQ, operada por Alloxentric SpA. Permite gestionar clínicas, planes, finanzas, soporte y usuarios, y vigilar la calidad de las notas clínicas SOAP generadas por inteligencia artificial en la plataforma WellQ.</w:t>
      </w:r>
    </w:p>
    <w:p>
      <w:pPr>
        <w:spacing w:after="120" w:line="276"/>
        <w:jc w:val="both"/>
      </w:pPr>
      <w:r>
        <w:rPr>
          <w:rFonts w:ascii="Calibri" w:cs="Calibri" w:eastAsia="Calibri" w:hAnsi="Calibri"/>
          <w:color w:val="000000"/>
          <w:sz w:val="20"/>
          <w:szCs w:val="20"/>
        </w:rPr>
        <w:t xml:space="preserve">Este informe documenta la arquitectura del sistema en los tres niveles del modelo C4, el pipeline de inferencia de notas SOAP, la respuesta arquitectónica al incidente planteado por la cátedra y la evaluación económica de la solución propuesta.</w:t>
      </w:r>
    </w:p>
    <w:p>
      <w:pPr>
        <w:spacing w:after="120" w:line="276"/>
        <w:jc w:val="both"/>
      </w:pPr>
      <w:r>
        <w:rPr>
          <w:rFonts w:ascii="Calibri" w:cs="Calibri" w:eastAsia="Calibri" w:hAnsi="Calibri"/>
          <w:color w:val="000000"/>
          <w:sz w:val="20"/>
          <w:szCs w:val="20"/>
        </w:rPr>
        <w:t xml:space="preserve">El incidente exige latencia inferior a 200 ms en el plano de tiempo real, aislamiento estricto entre la analítica batch y la API de inferencia, e ingesta segura de archivos mediante URLs SAS. La respuesta consiste en separar la arquitectura en dos planos de ejecución, con bases de datos, pools de conexión y procesos independientes, más una caché en memoria y la subida directa de archivos a almacenamiento cifrado.</w:t>
      </w:r>
    </w:p>
    <w:p>
      <w:pPr>
        <w:spacing w:after="120" w:line="276"/>
        <w:jc w:val="both"/>
      </w:pPr>
      <w:r>
        <w:rPr>
          <w:rFonts w:ascii="Calibri" w:cs="Calibri" w:eastAsia="Calibri" w:hAnsi="Calibri"/>
          <w:color w:val="000000"/>
          <w:sz w:val="20"/>
          <w:szCs w:val="20"/>
        </w:rPr>
        <w:t xml:space="preserve">La evaluación económica, con supuestos explícitos que deben validarse con Alloxentric, entrega en el escenario base un VAN de 187,7 UF, una TIR anual cercana al 97 %, una relación B/C de 1,81 y un payback de 18 meses. El dictamen es </w:t>
      </w:r>
      <w:r>
        <w:rPr>
          <w:rFonts w:ascii="Calibri" w:cs="Calibri" w:eastAsia="Calibri" w:hAnsi="Calibri"/>
          <w:b/>
          <w:bCs/>
          <w:color w:val="000000"/>
          <w:sz w:val="20"/>
          <w:szCs w:val="20"/>
        </w:rPr>
        <w:t xml:space="preserve">GO condicionado</w:t>
      </w:r>
      <w:r>
        <w:rPr>
          <w:rFonts w:ascii="Calibri" w:cs="Calibri" w:eastAsia="Calibri" w:hAnsi="Calibri"/>
          <w:color w:val="000000"/>
          <w:sz w:val="20"/>
          <w:szCs w:val="20"/>
        </w:rPr>
        <w:t xml:space="preserve">: la inversión es rentable si se confirma una base de al menos 10 clínicas suscritas con la prima de precio; el payback menor a 12 meses solo se alcanza con una base cercana a 40 clínicas.</w:t>
      </w:r>
    </w:p>
    <w:p>
      <w:r>
        <w:br w:type="page"/>
      </w:r>
    </w:p>
    <w:p>
      <w:pPr>
        <w:pStyle w:val="Heading1"/>
        <w:spacing w:after="160" w:before="320"/>
      </w:pPr>
      <w:r>
        <w:rPr>
          <w:rFonts w:ascii="Calibri" w:cs="Calibri" w:eastAsia="Calibri" w:hAnsi="Calibri"/>
          <w:b/>
          <w:bCs/>
          <w:color w:val="000000"/>
          <w:sz w:val="32"/>
          <w:szCs w:val="32"/>
        </w:rPr>
        <w:t xml:space="preserve">1. Alcance y supuestos operativos</w:t>
      </w:r>
    </w:p>
    <w:p>
      <w:pPr>
        <w:pStyle w:val="Heading2"/>
        <w:spacing w:after="120" w:before="240"/>
      </w:pPr>
      <w:r>
        <w:rPr>
          <w:rFonts w:ascii="Calibri" w:cs="Calibri" w:eastAsia="Calibri" w:hAnsi="Calibri"/>
          <w:b/>
          <w:bCs/>
          <w:color w:val="000000"/>
          <w:sz w:val="26"/>
          <w:szCs w:val="26"/>
        </w:rPr>
        <w:t xml:space="preserve">1.1 Naturaleza del sistema</w:t>
      </w:r>
    </w:p>
    <w:p>
      <w:pPr>
        <w:spacing w:after="120" w:line="276"/>
        <w:jc w:val="both"/>
      </w:pPr>
      <w:r>
        <w:rPr>
          <w:rFonts w:ascii="Calibri" w:cs="Calibri" w:eastAsia="Calibri" w:hAnsi="Calibri"/>
          <w:color w:val="000000"/>
          <w:sz w:val="20"/>
          <w:szCs w:val="20"/>
        </w:rPr>
        <w:t xml:space="preserve">WellQ Admin Site es una consola SaaS multi-tenant de administración, gobierno y observabilidad. No entrena ni ejecuta modelos de lenguaje. Su función respecto a la inteligencia artificial es monitorear la salud del sistema y auditar la calidad de las notas clínicas SOAP que genera la plataforma WellQ para clínicas de salud musculoesquelética.</w:t>
      </w:r>
    </w:p>
    <w:p>
      <w:pPr>
        <w:pStyle w:val="Heading2"/>
        <w:spacing w:after="120" w:before="240"/>
      </w:pPr>
      <w:r>
        <w:rPr>
          <w:rFonts w:ascii="Calibri" w:cs="Calibri" w:eastAsia="Calibri" w:hAnsi="Calibri"/>
          <w:b/>
          <w:bCs/>
          <w:color w:val="000000"/>
          <w:sz w:val="26"/>
          <w:szCs w:val="26"/>
        </w:rPr>
        <w:t xml:space="preserve">1.2 Marco normativo</w:t>
      </w:r>
    </w:p>
    <w:p>
      <w:pPr>
        <w:spacing w:after="120" w:line="276"/>
        <w:jc w:val="both"/>
      </w:pPr>
      <w:r>
        <w:rPr>
          <w:rFonts w:ascii="Calibri" w:cs="Calibri" w:eastAsia="Calibri" w:hAnsi="Calibri"/>
          <w:color w:val="000000"/>
          <w:sz w:val="20"/>
          <w:szCs w:val="20"/>
        </w:rPr>
        <w:t xml:space="preserve">Dado que Alloxentric opera desde Londres y atiende clínicas del Reino Unido, la arquitectura objetivo se diseña para operar en una región del Reino Unido bajo UK GDPR y la Data Protection Act 2018, con orientación a los criterios de evaluación tecnológica del NHS (DTAC). Esta alineación es un objetivo de diseño; el sistema no cuenta hoy con certificación.</w:t>
      </w:r>
    </w:p>
    <w:p>
      <w:pPr>
        <w:pStyle w:val="Heading2"/>
        <w:spacing w:after="120" w:before="240"/>
      </w:pPr>
      <w:r>
        <w:rPr>
          <w:rFonts w:ascii="Calibri" w:cs="Calibri" w:eastAsia="Calibri" w:hAnsi="Calibri"/>
          <w:b/>
          <w:bCs/>
          <w:color w:val="000000"/>
          <w:sz w:val="26"/>
          <w:szCs w:val="26"/>
        </w:rPr>
        <w:t xml:space="preserve">1.3 Implementado frente a propuesto</w:t>
      </w:r>
    </w:p>
    <w:p>
      <w:pPr>
        <w:spacing w:after="120" w:line="276"/>
        <w:jc w:val="both"/>
      </w:pPr>
      <w:r>
        <w:rPr>
          <w:rFonts w:ascii="Calibri" w:cs="Calibri" w:eastAsia="Calibri" w:hAnsi="Calibri"/>
          <w:color w:val="000000"/>
          <w:sz w:val="20"/>
          <w:szCs w:val="20"/>
        </w:rPr>
        <w:t xml:space="preserve">Para evitar ambigüedades, se distingue lo que existe hoy en el repositorio de lo que forma parte de la arquitectura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cantSplit/>
          <w:tblHeader/>
        </w:trPr>
        <w:tc>
          <w:tcPr>
            <w:tcW w:type="dxa" w:w="27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Elemento</w:t>
            </w:r>
          </w:p>
        </w:tc>
        <w:tc>
          <w:tcPr>
            <w:tcW w:type="dxa" w:w="42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Descripción</w:t>
            </w:r>
          </w:p>
        </w:tc>
        <w:tc>
          <w:tcPr>
            <w:tcW w:type="dxa" w:w="24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Estado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Panel web (SPA)</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React 19, Vite y Tailwind, desplegado en Vercel</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 backend</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FastAPI asíncrono en contenedor Docker sobre Google Cloud Run (región actual southamerica-west1)</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Base de datos</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PostgreSQL en Neon, base única transaccional</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Endpoints de observabilidad</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/api/ai/soap-quality y /api/platform/health-check</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Recomendaciones del cliente</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#6, #8, #9, #10, #15, #16 y #22</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Región Reino Unido</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Migración de API y base de datos a región de Londres</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Plano batch aislado</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Worker batch, cola de eventos y réplica de lectura</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Caché en memoria</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Redis administrado para lecturas de baja latencia</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Ingesta desde tablets</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Subida directa a Azure Blob Storage mediante URLs SAS</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 / externo (WellQ)</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Servicio de inferencia</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Modelo de lenguaje que redacta las notas SOAP</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Externo (WellQ)</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120"/>
              <w:left w:type="dxa" w:w="160"/>
              <w:bottom w:type="dxa" w:w="120"/>
              <w:right w:type="dxa" w:w="160"/>
            </w:tcMar>
          </w:tcPr>
          <w:p>
            <w:r>
              <w:rPr>
                <w:rFonts w:ascii="Calibri" w:cs="Calibri" w:eastAsia="Calibri" w:hAnsi="Calibri"/>
                <w:b/>
                <w:bCs/>
                <w:color w:val="000000"/>
                <w:sz w:val="20"/>
                <w:szCs w:val="20"/>
              </w:rPr>
              <w:t xml:space="preserve">Supuesto de datos: </w:t>
            </w:r>
            <w:r>
              <w:rPr>
                <w:rFonts w:ascii="Calibri" w:cs="Calibri" w:eastAsia="Calibri" w:hAnsi="Calibri"/>
                <w:color w:val="000000"/>
                <w:sz w:val="20"/>
                <w:szCs w:val="20"/>
              </w:rPr>
              <w:t xml:space="preserve">el panel opera hoy con datos de demostración. Las métricas mostradas en este informe describen la capacidad del sistema y no resultados de producción.</w:t>
            </w:r>
          </w:p>
        </w:tc>
      </w:tr>
    </w:tbl>
    <w:p>
      <w:r>
        <w:br w:type="page"/>
      </w:r>
    </w:p>
    <w:p>
      <w:pPr>
        <w:pStyle w:val="Heading1"/>
        <w:spacing w:after="160" w:before="320"/>
      </w:pPr>
      <w:r>
        <w:rPr>
          <w:rFonts w:ascii="Calibri" w:cs="Calibri" w:eastAsia="Calibri" w:hAnsi="Calibri"/>
          <w:b/>
          <w:bCs/>
          <w:color w:val="000000"/>
          <w:sz w:val="32"/>
          <w:szCs w:val="32"/>
        </w:rPr>
        <w:t xml:space="preserve">Capítulo I. Arquitectura</w:t>
      </w:r>
    </w:p>
    <w:p>
      <w:pPr>
        <w:pStyle w:val="Heading1"/>
        <w:spacing w:after="160" w:before="320"/>
      </w:pPr>
      <w:r>
        <w:rPr>
          <w:rFonts w:ascii="Calibri" w:cs="Calibri" w:eastAsia="Calibri" w:hAnsi="Calibri"/>
          <w:b/>
          <w:bCs/>
          <w:color w:val="000000"/>
          <w:sz w:val="32"/>
          <w:szCs w:val="32"/>
        </w:rPr>
        <w:t xml:space="preserve">2. Modelo C4 consolidado (versión corregida)</w:t>
      </w:r>
    </w:p>
    <w:p>
      <w:pPr>
        <w:spacing w:after="120" w:line="276"/>
        <w:jc w:val="both"/>
      </w:pPr>
      <w:r>
        <w:rPr>
          <w:rFonts w:ascii="Calibri" w:cs="Calibri" w:eastAsia="Calibri" w:hAnsi="Calibri"/>
          <w:color w:val="000000"/>
          <w:sz w:val="20"/>
          <w:szCs w:val="20"/>
        </w:rPr>
        <w:t xml:space="preserve">El modelo C4 describe el sistema en tres niveles de detalle. Los diagramas incluidos corresponden a la versión corregida tras el incidente de cátedra, que separa la arquitectura en un plano de tiempo real y un plano batch.</w:t>
      </w:r>
    </w:p>
    <w:p>
      <w:pPr>
        <w:pStyle w:val="Heading2"/>
        <w:spacing w:after="120" w:before="240"/>
      </w:pPr>
      <w:r>
        <w:rPr>
          <w:rFonts w:ascii="Calibri" w:cs="Calibri" w:eastAsia="Calibri" w:hAnsi="Calibri"/>
          <w:b/>
          <w:bCs/>
          <w:color w:val="000000"/>
          <w:sz w:val="26"/>
          <w:szCs w:val="26"/>
        </w:rPr>
        <w:t xml:space="preserve">2.1 Nivel 1: Contexto</w:t>
      </w:r>
    </w:p>
    <w:p>
      <w:pPr>
        <w:spacing w:after="120" w:line="276"/>
        <w:jc w:val="both"/>
      </w:pPr>
      <w:r>
        <w:rPr>
          <w:rFonts w:ascii="Calibri" w:cs="Calibri" w:eastAsia="Calibri" w:hAnsi="Calibri"/>
          <w:color w:val="000000"/>
          <w:sz w:val="20"/>
          <w:szCs w:val="20"/>
        </w:rPr>
        <w:t xml:space="preserve">El diagrama de contexto muestra a WellQ Admin Site como un único sistema y sus relaciones con personas y sistemas externos:</w:t>
      </w:r>
    </w:p>
    <w:p>
      <w:pPr>
        <w:pStyle w:val="ListParagraph"/>
        <w:numPr>
          <w:ilvl w:val="0"/>
          <w:numId w:val="2"/>
        </w:numPr>
        <w:spacing w:after="70" w:line="270"/>
      </w:pPr>
      <w:r>
        <w:rPr>
          <w:rFonts w:ascii="Calibri" w:cs="Calibri" w:eastAsia="Calibri" w:hAnsi="Calibri"/>
          <w:b/>
          <w:bCs/>
          <w:color w:val="000000"/>
          <w:sz w:val="20"/>
          <w:szCs w:val="20"/>
        </w:rPr>
        <w:t xml:space="preserve">Administrador de Alloxentric: </w:t>
      </w:r>
      <w:r>
        <w:rPr>
          <w:rFonts w:ascii="Calibri" w:cs="Calibri" w:eastAsia="Calibri" w:hAnsi="Calibri"/>
          <w:color w:val="000000"/>
          <w:sz w:val="20"/>
          <w:szCs w:val="20"/>
        </w:rPr>
        <w:t xml:space="preserve">gestiona clínicas, planes, finanzas y auditoría mediante HTTPS con TLS 1.3.</w:t>
      </w:r>
    </w:p>
    <w:p>
      <w:pPr>
        <w:pStyle w:val="ListParagraph"/>
        <w:numPr>
          <w:ilvl w:val="0"/>
          <w:numId w:val="2"/>
        </w:numPr>
        <w:spacing w:after="70" w:line="270"/>
      </w:pPr>
      <w:r>
        <w:rPr>
          <w:rFonts w:ascii="Calibri" w:cs="Calibri" w:eastAsia="Calibri" w:hAnsi="Calibri"/>
          <w:b/>
          <w:bCs/>
          <w:color w:val="000000"/>
          <w:sz w:val="20"/>
          <w:szCs w:val="20"/>
        </w:rPr>
        <w:t xml:space="preserve">Analista de operaciones: </w:t>
      </w:r>
      <w:r>
        <w:rPr>
          <w:rFonts w:ascii="Calibri" w:cs="Calibri" w:eastAsia="Calibri" w:hAnsi="Calibri"/>
          <w:color w:val="000000"/>
          <w:sz w:val="20"/>
          <w:szCs w:val="20"/>
        </w:rPr>
        <w:t xml:space="preserve">valida funcionalidades con el rol Operations Analyst, con acceso restringido por permisos.</w:t>
      </w:r>
    </w:p>
    <w:p>
      <w:pPr>
        <w:pStyle w:val="ListParagraph"/>
        <w:numPr>
          <w:ilvl w:val="0"/>
          <w:numId w:val="2"/>
        </w:numPr>
        <w:spacing w:after="70" w:line="270"/>
      </w:pPr>
      <w:r>
        <w:rPr>
          <w:rFonts w:ascii="Calibri" w:cs="Calibri" w:eastAsia="Calibri" w:hAnsi="Calibri"/>
          <w:b/>
          <w:bCs/>
          <w:color w:val="000000"/>
          <w:sz w:val="20"/>
          <w:szCs w:val="20"/>
        </w:rPr>
        <w:t xml:space="preserve">Tablets clínicas: </w:t>
      </w:r>
      <w:r>
        <w:rPr>
          <w:rFonts w:ascii="Calibri" w:cs="Calibri" w:eastAsia="Calibri" w:hAnsi="Calibri"/>
          <w:color w:val="000000"/>
          <w:sz w:val="20"/>
          <w:szCs w:val="20"/>
        </w:rPr>
        <w:t xml:space="preserve">suben las sesiones a Blob Storage en el Reino Unido mediante URLs SAS temporales, sin pasar por la API.</w:t>
      </w:r>
    </w:p>
    <w:p>
      <w:pPr>
        <w:pStyle w:val="ListParagraph"/>
        <w:numPr>
          <w:ilvl w:val="0"/>
          <w:numId w:val="2"/>
        </w:numPr>
        <w:spacing w:after="70" w:line="270"/>
      </w:pPr>
      <w:r>
        <w:rPr>
          <w:rFonts w:ascii="Calibri" w:cs="Calibri" w:eastAsia="Calibri" w:hAnsi="Calibri"/>
          <w:b/>
          <w:bCs/>
          <w:color w:val="000000"/>
          <w:sz w:val="20"/>
          <w:szCs w:val="20"/>
        </w:rPr>
        <w:t xml:space="preserve">API de inferencia en tiempo real: </w:t>
      </w:r>
      <w:r>
        <w:rPr>
          <w:rFonts w:ascii="Calibri" w:cs="Calibri" w:eastAsia="Calibri" w:hAnsi="Calibri"/>
          <w:color w:val="000000"/>
          <w:sz w:val="20"/>
          <w:szCs w:val="20"/>
        </w:rPr>
        <w:t xml:space="preserve">redacta las notas SOAP con un acuerdo de servicio inferior a 200 ms. WellQ Admin Site monitorea su salud y su latencia.</w:t>
      </w:r>
    </w:p>
    <w:p>
      <w:pPr>
        <w:pStyle w:val="ListParagraph"/>
        <w:numPr>
          <w:ilvl w:val="0"/>
          <w:numId w:val="2"/>
        </w:numPr>
        <w:spacing w:after="70" w:line="270"/>
      </w:pPr>
      <w:r>
        <w:rPr>
          <w:rFonts w:ascii="Calibri" w:cs="Calibri" w:eastAsia="Calibri" w:hAnsi="Calibri"/>
          <w:b/>
          <w:bCs/>
          <w:color w:val="000000"/>
          <w:sz w:val="20"/>
          <w:szCs w:val="20"/>
        </w:rPr>
        <w:t xml:space="preserve">Pipeline batch: </w:t>
      </w:r>
      <w:r>
        <w:rPr>
          <w:rFonts w:ascii="Calibri" w:cs="Calibri" w:eastAsia="Calibri" w:hAnsi="Calibri"/>
          <w:color w:val="000000"/>
          <w:sz w:val="20"/>
          <w:szCs w:val="20"/>
        </w:rPr>
        <w:t xml:space="preserve">procesa de forma aislada la telemetría y la calidad SOAP; el panel lee sus resultados consolidados.</w:t>
      </w:r>
    </w:p>
    <w:p>
      <w:pPr>
        <w:pStyle w:val="ListParagraph"/>
        <w:numPr>
          <w:ilvl w:val="0"/>
          <w:numId w:val="2"/>
        </w:numPr>
        <w:spacing w:after="70" w:line="270"/>
      </w:pPr>
      <w:r>
        <w:rPr>
          <w:rFonts w:ascii="Calibri" w:cs="Calibri" w:eastAsia="Calibri" w:hAnsi="Calibri"/>
          <w:b/>
          <w:bCs/>
          <w:color w:val="000000"/>
          <w:sz w:val="20"/>
          <w:szCs w:val="20"/>
        </w:rPr>
        <w:t xml:space="preserve">Keycloak (futuro): </w:t>
      </w:r>
      <w:r>
        <w:rPr>
          <w:rFonts w:ascii="Calibri" w:cs="Calibri" w:eastAsia="Calibri" w:hAnsi="Calibri"/>
          <w:color w:val="000000"/>
          <w:sz w:val="20"/>
          <w:szCs w:val="20"/>
        </w:rPr>
        <w:t xml:space="preserve">autenticación centralizada de la plataforma WellQ.</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500"/>
              <w:left w:type="dxa" w:w="200"/>
              <w:bottom w:type="dxa" w:w="500"/>
              <w:right w:type="dxa" w:w="200"/>
            </w:tcMar>
          </w:tcPr>
          <w:p>
            <w:pPr>
              <w:jc w:val="center"/>
            </w:pPr>
            <w:r>
              <w:rPr>
                <w:rFonts w:ascii="Calibri" w:cs="Calibri" w:eastAsia="Calibri" w:hAnsi="Calibri"/>
                <w:b/>
                <w:bCs/>
                <w:color w:val="000000"/>
                <w:sz w:val="20"/>
                <w:szCs w:val="20"/>
              </w:rPr>
              <w:t xml:space="preserve">[INSERTAR FIGURA 1: DIAGRAMA DE CONTEXTO #CORREGIDO]</w:t>
            </w:r>
          </w:p>
        </w:tc>
      </w:tr>
    </w:tbl>
    <w:p>
      <w:pPr>
        <w:spacing w:after="200" w:before="60"/>
        <w:jc w:val="center"/>
      </w:pPr>
      <w:r>
        <w:rPr>
          <w:rFonts w:ascii="Calibri" w:cs="Calibri" w:eastAsia="Calibri" w:hAnsi="Calibri"/>
          <w:i/>
          <w:iCs/>
          <w:color w:val="000000"/>
          <w:sz w:val="18"/>
          <w:szCs w:val="18"/>
        </w:rPr>
        <w:t xml:space="preserve">Figura 1. Diagrama de contexto de WellQ Admin Site.</w:t>
      </w:r>
    </w:p>
    <w:p>
      <w:pPr>
        <w:pStyle w:val="Heading2"/>
        <w:spacing w:after="120" w:before="240"/>
      </w:pPr>
      <w:r>
        <w:rPr>
          <w:rFonts w:ascii="Calibri" w:cs="Calibri" w:eastAsia="Calibri" w:hAnsi="Calibri"/>
          <w:b/>
          <w:bCs/>
          <w:color w:val="000000"/>
          <w:sz w:val="26"/>
          <w:szCs w:val="26"/>
        </w:rPr>
        <w:t xml:space="preserve">2.2 Nivel 2: Contenedores</w:t>
      </w:r>
    </w:p>
    <w:p>
      <w:pPr>
        <w:spacing w:after="120" w:line="276"/>
        <w:jc w:val="both"/>
      </w:pPr>
      <w:r>
        <w:rPr>
          <w:rFonts w:ascii="Calibri" w:cs="Calibri" w:eastAsia="Calibri" w:hAnsi="Calibri"/>
          <w:color w:val="000000"/>
          <w:sz w:val="20"/>
          <w:szCs w:val="20"/>
        </w:rPr>
        <w:t xml:space="preserve">El diagrama de contenedores separa el sistema en dos planos que no comparten recursos de cómputo ni conexiones de base de datos.</w:t>
      </w:r>
    </w:p>
    <w:p>
      <w:pPr>
        <w:pStyle w:val="Heading3"/>
        <w:spacing w:after="100" w:before="180"/>
      </w:pPr>
      <w:r>
        <w:rPr>
          <w:rFonts w:ascii="Calibri" w:cs="Calibri" w:eastAsia="Calibri" w:hAnsi="Calibri"/>
          <w:b/>
          <w:bCs/>
          <w:color w:val="000000"/>
          <w:sz w:val="22"/>
          <w:szCs w:val="22"/>
        </w:rPr>
        <w:t xml:space="preserve">Plano de tiempo real (SLA menor a 200 ms)</w:t>
      </w:r>
    </w:p>
    <w:p>
      <w:pPr>
        <w:pStyle w:val="ListParagraph"/>
        <w:numPr>
          <w:ilvl w:val="0"/>
          <w:numId w:val="3"/>
        </w:numPr>
        <w:spacing w:after="70" w:line="270"/>
      </w:pPr>
      <w:r>
        <w:rPr>
          <w:rFonts w:ascii="Calibri" w:cs="Calibri" w:eastAsia="Calibri" w:hAnsi="Calibri"/>
          <w:b/>
          <w:bCs/>
          <w:color w:val="000000"/>
          <w:sz w:val="20"/>
          <w:szCs w:val="20"/>
        </w:rPr>
        <w:t xml:space="preserve">Panel web (SPA): </w:t>
      </w:r>
      <w:r>
        <w:rPr>
          <w:rFonts w:ascii="Calibri" w:cs="Calibri" w:eastAsia="Calibri" w:hAnsi="Calibri"/>
          <w:color w:val="000000"/>
          <w:sz w:val="20"/>
          <w:szCs w:val="20"/>
        </w:rPr>
        <w:t xml:space="preserve">React 19 en Vercel. Envía solicitudes REST con JSON sobre HTTPS y token JWT.</w:t>
      </w:r>
    </w:p>
    <w:p>
      <w:pPr>
        <w:pStyle w:val="ListParagraph"/>
        <w:numPr>
          <w:ilvl w:val="0"/>
          <w:numId w:val="3"/>
        </w:numPr>
        <w:spacing w:after="70" w:line="270"/>
      </w:pPr>
      <w:r>
        <w:rPr>
          <w:rFonts w:ascii="Calibri" w:cs="Calibri" w:eastAsia="Calibri" w:hAnsi="Calibri"/>
          <w:b/>
          <w:bCs/>
          <w:color w:val="000000"/>
          <w:sz w:val="20"/>
          <w:szCs w:val="20"/>
        </w:rPr>
        <w:t xml:space="preserve">API backend online: </w:t>
      </w:r>
      <w:r>
        <w:rPr>
          <w:rFonts w:ascii="Calibri" w:cs="Calibri" w:eastAsia="Calibri" w:hAnsi="Calibri"/>
          <w:color w:val="000000"/>
          <w:sz w:val="20"/>
          <w:szCs w:val="20"/>
        </w:rPr>
        <w:t xml:space="preserve">FastAPI asíncrono en Cloud Run. Atiende operaciones en vivo y emite URLs SAS.</w:t>
      </w:r>
    </w:p>
    <w:p>
      <w:pPr>
        <w:pStyle w:val="ListParagraph"/>
        <w:numPr>
          <w:ilvl w:val="0"/>
          <w:numId w:val="3"/>
        </w:numPr>
        <w:spacing w:after="70" w:line="270"/>
      </w:pPr>
      <w:r>
        <w:rPr>
          <w:rFonts w:ascii="Calibri" w:cs="Calibri" w:eastAsia="Calibri" w:hAnsi="Calibri"/>
          <w:b/>
          <w:bCs/>
          <w:color w:val="000000"/>
          <w:sz w:val="20"/>
          <w:szCs w:val="20"/>
        </w:rPr>
        <w:t xml:space="preserve">Caché en memoria: </w:t>
      </w:r>
      <w:r>
        <w:rPr>
          <w:rFonts w:ascii="Calibri" w:cs="Calibri" w:eastAsia="Calibri" w:hAnsi="Calibri"/>
          <w:color w:val="000000"/>
          <w:sz w:val="20"/>
          <w:szCs w:val="20"/>
        </w:rPr>
        <w:t xml:space="preserve">Redis, con lecturas objetivo menores a 20 ms para datos de consulta frecuente.</w:t>
      </w:r>
    </w:p>
    <w:p>
      <w:pPr>
        <w:pStyle w:val="ListParagraph"/>
        <w:numPr>
          <w:ilvl w:val="0"/>
          <w:numId w:val="3"/>
        </w:numPr>
        <w:spacing w:after="70" w:line="270"/>
      </w:pPr>
      <w:r>
        <w:rPr>
          <w:rFonts w:ascii="Calibri" w:cs="Calibri" w:eastAsia="Calibri" w:hAnsi="Calibri"/>
          <w:b/>
          <w:bCs/>
          <w:color w:val="000000"/>
          <w:sz w:val="20"/>
          <w:szCs w:val="20"/>
        </w:rPr>
        <w:t xml:space="preserve">Base de datos primaria (OLTP): </w:t>
      </w:r>
      <w:r>
        <w:rPr>
          <w:rFonts w:ascii="Calibri" w:cs="Calibri" w:eastAsia="Calibri" w:hAnsi="Calibri"/>
          <w:color w:val="000000"/>
          <w:sz w:val="20"/>
          <w:szCs w:val="20"/>
        </w:rPr>
        <w:t xml:space="preserve">PostgreSQL en Neon, con un pool de conexiones exclusivo para el plano de tiempo real.</w:t>
      </w:r>
    </w:p>
    <w:p>
      <w:pPr>
        <w:pStyle w:val="Heading3"/>
        <w:spacing w:after="100" w:before="180"/>
      </w:pPr>
      <w:r>
        <w:rPr>
          <w:rFonts w:ascii="Calibri" w:cs="Calibri" w:eastAsia="Calibri" w:hAnsi="Calibri"/>
          <w:b/>
          <w:bCs/>
          <w:color w:val="000000"/>
          <w:sz w:val="22"/>
          <w:szCs w:val="22"/>
        </w:rPr>
        <w:t xml:space="preserve">Plano batch y analítica pesada</w:t>
      </w:r>
    </w:p>
    <w:p>
      <w:pPr>
        <w:pStyle w:val="ListParagraph"/>
        <w:numPr>
          <w:ilvl w:val="0"/>
          <w:numId w:val="4"/>
        </w:numPr>
        <w:spacing w:after="70" w:line="270"/>
      </w:pPr>
      <w:r>
        <w:rPr>
          <w:rFonts w:ascii="Calibri" w:cs="Calibri" w:eastAsia="Calibri" w:hAnsi="Calibri"/>
          <w:b/>
          <w:bCs/>
          <w:color w:val="000000"/>
          <w:sz w:val="20"/>
          <w:szCs w:val="20"/>
        </w:rPr>
        <w:t xml:space="preserve">Cola de eventos: </w:t>
      </w:r>
      <w:r>
        <w:rPr>
          <w:rFonts w:ascii="Calibri" w:cs="Calibri" w:eastAsia="Calibri" w:hAnsi="Calibri"/>
          <w:color w:val="000000"/>
          <w:sz w:val="20"/>
          <w:szCs w:val="20"/>
        </w:rPr>
        <w:t xml:space="preserve">recibe la telemetría sin bloquear a la API.</w:t>
      </w:r>
    </w:p>
    <w:p>
      <w:pPr>
        <w:pStyle w:val="ListParagraph"/>
        <w:numPr>
          <w:ilvl w:val="0"/>
          <w:numId w:val="4"/>
        </w:numPr>
        <w:spacing w:after="70" w:line="270"/>
      </w:pPr>
      <w:r>
        <w:rPr>
          <w:rFonts w:ascii="Calibri" w:cs="Calibri" w:eastAsia="Calibri" w:hAnsi="Calibri"/>
          <w:b/>
          <w:bCs/>
          <w:color w:val="000000"/>
          <w:sz w:val="20"/>
          <w:szCs w:val="20"/>
        </w:rPr>
        <w:t xml:space="preserve">Worker batch (ETL): </w:t>
      </w:r>
      <w:r>
        <w:rPr>
          <w:rFonts w:ascii="Calibri" w:cs="Calibri" w:eastAsia="Calibri" w:hAnsi="Calibri"/>
          <w:color w:val="000000"/>
          <w:sz w:val="20"/>
          <w:szCs w:val="20"/>
        </w:rPr>
        <w:t xml:space="preserve">trabajos en Cloud Run Jobs que calculan la calidad SOAP y consolidan auditoría.</w:t>
      </w:r>
    </w:p>
    <w:p>
      <w:pPr>
        <w:pStyle w:val="ListParagraph"/>
        <w:numPr>
          <w:ilvl w:val="0"/>
          <w:numId w:val="4"/>
        </w:numPr>
        <w:spacing w:after="70" w:line="270"/>
      </w:pPr>
      <w:r>
        <w:rPr>
          <w:rFonts w:ascii="Calibri" w:cs="Calibri" w:eastAsia="Calibri" w:hAnsi="Calibri"/>
          <w:b/>
          <w:bCs/>
          <w:color w:val="000000"/>
          <w:sz w:val="20"/>
          <w:szCs w:val="20"/>
        </w:rPr>
        <w:t xml:space="preserve">Réplica de lectura (OLAP): </w:t>
      </w:r>
      <w:r>
        <w:rPr>
          <w:rFonts w:ascii="Calibri" w:cs="Calibri" w:eastAsia="Calibri" w:hAnsi="Calibri"/>
          <w:color w:val="000000"/>
          <w:sz w:val="20"/>
          <w:szCs w:val="20"/>
        </w:rPr>
        <w:t xml:space="preserve">PostgreSQL en Neon, alimentada por replicación asíncrona; atiende las consultas analíticas del panel.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500"/>
              <w:left w:type="dxa" w:w="200"/>
              <w:bottom w:type="dxa" w:w="500"/>
              <w:right w:type="dxa" w:w="200"/>
            </w:tcMar>
          </w:tcPr>
          <w:p>
            <w:pPr>
              <w:jc w:val="center"/>
            </w:pPr>
            <w:r>
              <w:rPr>
                <w:rFonts w:ascii="Calibri" w:cs="Calibri" w:eastAsia="Calibri" w:hAnsi="Calibri"/>
                <w:b/>
                <w:bCs/>
                <w:color w:val="000000"/>
                <w:sz w:val="20"/>
                <w:szCs w:val="20"/>
              </w:rPr>
              <w:t xml:space="preserve">[INSERTAR FIGURA 2: DIAGRAMA DE CONTENEDORES #CORREGIDO]</w:t>
            </w:r>
          </w:p>
        </w:tc>
      </w:tr>
    </w:tbl>
    <w:p>
      <w:pPr>
        <w:spacing w:after="200" w:before="60"/>
        <w:jc w:val="center"/>
      </w:pPr>
      <w:r>
        <w:rPr>
          <w:rFonts w:ascii="Calibri" w:cs="Calibri" w:eastAsia="Calibri" w:hAnsi="Calibri"/>
          <w:i/>
          <w:iCs/>
          <w:color w:val="000000"/>
          <w:sz w:val="18"/>
          <w:szCs w:val="18"/>
        </w:rPr>
        <w:t xml:space="preserve">Figura 2. Diagrama de contenedores con planos de ejecución separados.</w:t>
      </w:r>
    </w:p>
    <w:p>
      <w:pPr>
        <w:pStyle w:val="Heading2"/>
        <w:spacing w:after="120" w:before="240"/>
      </w:pPr>
      <w:r>
        <w:rPr>
          <w:rFonts w:ascii="Calibri" w:cs="Calibri" w:eastAsia="Calibri" w:hAnsi="Calibri"/>
          <w:b/>
          <w:bCs/>
          <w:color w:val="000000"/>
          <w:sz w:val="26"/>
          <w:szCs w:val="26"/>
        </w:rPr>
        <w:t xml:space="preserve">2.3 Nivel 3: Componentes de la API</w:t>
      </w:r>
    </w:p>
    <w:p>
      <w:pPr>
        <w:spacing w:after="120" w:line="276"/>
        <w:jc w:val="both"/>
      </w:pPr>
      <w:r>
        <w:rPr>
          <w:rFonts w:ascii="Calibri" w:cs="Calibri" w:eastAsia="Calibri" w:hAnsi="Calibri"/>
          <w:color w:val="000000"/>
          <w:sz w:val="20"/>
          <w:szCs w:val="20"/>
        </w:rPr>
        <w:t xml:space="preserve">El diagrama de componentes abre la API FastAPI y muestra cómo la separación de planos se refleja en su código:</w:t>
      </w:r>
    </w:p>
    <w:p>
      <w:pPr>
        <w:pStyle w:val="ListParagraph"/>
        <w:numPr>
          <w:ilvl w:val="0"/>
          <w:numId w:val="2"/>
        </w:numPr>
        <w:spacing w:after="70" w:line="270"/>
      </w:pPr>
      <w:r>
        <w:rPr>
          <w:rFonts w:ascii="Calibri" w:cs="Calibri" w:eastAsia="Calibri" w:hAnsi="Calibri"/>
          <w:b/>
          <w:bCs/>
          <w:color w:val="000000"/>
          <w:sz w:val="20"/>
          <w:szCs w:val="20"/>
        </w:rPr>
        <w:t xml:space="preserve">Middleware CORS: </w:t>
      </w:r>
      <w:r>
        <w:rPr>
          <w:rFonts w:ascii="Calibri" w:cs="Calibri" w:eastAsia="Calibri" w:hAnsi="Calibri"/>
          <w:color w:val="000000"/>
          <w:sz w:val="20"/>
          <w:szCs w:val="20"/>
        </w:rPr>
        <w:t xml:space="preserve">permite solo los orígenes autorizados y exige HTTPS con TLS 1.3.</w:t>
      </w:r>
    </w:p>
    <w:p>
      <w:pPr>
        <w:pStyle w:val="ListParagraph"/>
        <w:numPr>
          <w:ilvl w:val="0"/>
          <w:numId w:val="2"/>
        </w:numPr>
        <w:spacing w:after="70" w:line="270"/>
      </w:pPr>
      <w:r>
        <w:rPr>
          <w:rFonts w:ascii="Calibri" w:cs="Calibri" w:eastAsia="Calibri" w:hAnsi="Calibri"/>
          <w:b/>
          <w:bCs/>
          <w:color w:val="000000"/>
          <w:sz w:val="20"/>
          <w:szCs w:val="20"/>
        </w:rPr>
        <w:t xml:space="preserve">Autenticación JWT y RBAC: </w:t>
      </w:r>
      <w:r>
        <w:rPr>
          <w:rFonts w:ascii="Calibri" w:cs="Calibri" w:eastAsia="Calibri" w:hAnsi="Calibri"/>
          <w:color w:val="000000"/>
          <w:sz w:val="20"/>
          <w:szCs w:val="20"/>
        </w:rPr>
        <w:t xml:space="preserve">valida el token, los permisos por rol y la residencia de datos en el Reino Unido. La auditoría global exige rol de super administrador.</w:t>
      </w:r>
    </w:p>
    <w:p>
      <w:pPr>
        <w:pStyle w:val="ListParagraph"/>
        <w:numPr>
          <w:ilvl w:val="0"/>
          <w:numId w:val="2"/>
        </w:numPr>
        <w:spacing w:after="70" w:line="270"/>
      </w:pPr>
      <w:r>
        <w:rPr>
          <w:rFonts w:ascii="Calibri" w:cs="Calibri" w:eastAsia="Calibri" w:hAnsi="Calibri"/>
          <w:b/>
          <w:bCs/>
          <w:color w:val="000000"/>
          <w:sz w:val="20"/>
          <w:szCs w:val="20"/>
        </w:rPr>
        <w:t xml:space="preserve">Emisor de URLs SAS: </w:t>
      </w:r>
      <w:r>
        <w:rPr>
          <w:rFonts w:ascii="Calibri" w:cs="Calibri" w:eastAsia="Calibri" w:hAnsi="Calibri"/>
          <w:color w:val="000000"/>
          <w:sz w:val="20"/>
          <w:szCs w:val="20"/>
        </w:rPr>
        <w:t xml:space="preserve">firma URLs de subida con vigencia de 5 minutos para que las tablets suban archivos cifrados directo a Blob Storage.</w:t>
      </w:r>
    </w:p>
    <w:p>
      <w:pPr>
        <w:pStyle w:val="ListParagraph"/>
        <w:numPr>
          <w:ilvl w:val="0"/>
          <w:numId w:val="2"/>
        </w:numPr>
        <w:spacing w:after="70" w:line="270"/>
      </w:pPr>
      <w:r>
        <w:rPr>
          <w:rFonts w:ascii="Calibri" w:cs="Calibri" w:eastAsia="Calibri" w:hAnsi="Calibri"/>
          <w:b/>
          <w:bCs/>
          <w:color w:val="000000"/>
          <w:sz w:val="20"/>
          <w:szCs w:val="20"/>
        </w:rPr>
        <w:t xml:space="preserve">Routers del plano de tiempo real: </w:t>
      </w:r>
      <w:r>
        <w:rPr>
          <w:rFonts w:ascii="Calibri" w:cs="Calibri" w:eastAsia="Calibri" w:hAnsi="Calibri"/>
          <w:color w:val="000000"/>
          <w:sz w:val="20"/>
          <w:szCs w:val="20"/>
        </w:rPr>
        <w:t xml:space="preserve">gestión (clínicas, planes, finanzas, usuarios, roles, soporte) y salud (/api/platform/health-check, radar de clínica).</w:t>
      </w:r>
    </w:p>
    <w:p>
      <w:pPr>
        <w:pStyle w:val="ListParagraph"/>
        <w:numPr>
          <w:ilvl w:val="0"/>
          <w:numId w:val="2"/>
        </w:numPr>
        <w:spacing w:after="70" w:line="270"/>
      </w:pPr>
      <w:r>
        <w:rPr>
          <w:rFonts w:ascii="Calibri" w:cs="Calibri" w:eastAsia="Calibri" w:hAnsi="Calibri"/>
          <w:b/>
          <w:bCs/>
          <w:color w:val="000000"/>
          <w:sz w:val="20"/>
          <w:szCs w:val="20"/>
        </w:rPr>
        <w:t xml:space="preserve">Routers del plano analítico: </w:t>
      </w:r>
      <w:r>
        <w:rPr>
          <w:rFonts w:ascii="Calibri" w:cs="Calibri" w:eastAsia="Calibri" w:hAnsi="Calibri"/>
          <w:color w:val="000000"/>
          <w:sz w:val="20"/>
          <w:szCs w:val="20"/>
        </w:rPr>
        <w:t xml:space="preserve">analítica y calidad SOAP (/api/ai/soap-quality) y auditoría (historial por clínica y centro de auditoría global).</w:t>
      </w:r>
    </w:p>
    <w:p>
      <w:pPr>
        <w:pStyle w:val="ListParagraph"/>
        <w:numPr>
          <w:ilvl w:val="0"/>
          <w:numId w:val="2"/>
        </w:numPr>
        <w:spacing w:after="70" w:line="270"/>
      </w:pPr>
      <w:r>
        <w:rPr>
          <w:rFonts w:ascii="Calibri" w:cs="Calibri" w:eastAsia="Calibri" w:hAnsi="Calibri"/>
          <w:b/>
          <w:bCs/>
          <w:color w:val="000000"/>
          <w:sz w:val="20"/>
          <w:szCs w:val="20"/>
        </w:rPr>
        <w:t xml:space="preserve">Dos conectores de base de datos: </w:t>
      </w:r>
      <w:r>
        <w:rPr>
          <w:rFonts w:ascii="Calibri" w:cs="Calibri" w:eastAsia="Calibri" w:hAnsi="Calibri"/>
          <w:color w:val="000000"/>
          <w:sz w:val="20"/>
          <w:szCs w:val="20"/>
        </w:rPr>
        <w:t xml:space="preserve">un pool prioritario hacia la base primaria para el tiempo real y un pool de solo lectura hacia la réplica para la analítica.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500"/>
              <w:left w:type="dxa" w:w="200"/>
              <w:bottom w:type="dxa" w:w="500"/>
              <w:right w:type="dxa" w:w="200"/>
            </w:tcMar>
          </w:tcPr>
          <w:p>
            <w:pPr>
              <w:jc w:val="center"/>
            </w:pPr>
            <w:r>
              <w:rPr>
                <w:rFonts w:ascii="Calibri" w:cs="Calibri" w:eastAsia="Calibri" w:hAnsi="Calibri"/>
                <w:b/>
                <w:bCs/>
                <w:color w:val="000000"/>
                <w:sz w:val="20"/>
                <w:szCs w:val="20"/>
              </w:rPr>
              <w:t xml:space="preserve">[INSERTAR FIGURA 3: DIAGRAMA DE COMPONENTES #CORREGIDO]</w:t>
            </w:r>
          </w:p>
        </w:tc>
      </w:tr>
    </w:tbl>
    <w:p>
      <w:pPr>
        <w:spacing w:after="200" w:before="60"/>
        <w:jc w:val="center"/>
      </w:pPr>
      <w:r>
        <w:rPr>
          <w:rFonts w:ascii="Calibri" w:cs="Calibri" w:eastAsia="Calibri" w:hAnsi="Calibri"/>
          <w:i/>
          <w:iCs/>
          <w:color w:val="000000"/>
          <w:sz w:val="18"/>
          <w:szCs w:val="18"/>
        </w:rPr>
        <w:t xml:space="preserve">Figura 3. Diagrama de componentes de la API backend.</w:t>
      </w:r>
    </w:p>
    <w:p>
      <w:pPr>
        <w:pStyle w:val="Heading2"/>
        <w:spacing w:after="120" w:before="240"/>
      </w:pPr>
      <w:r>
        <w:rPr>
          <w:rFonts w:ascii="Calibri" w:cs="Calibri" w:eastAsia="Calibri" w:hAnsi="Calibri"/>
          <w:b/>
          <w:bCs/>
          <w:color w:val="000000"/>
          <w:sz w:val="26"/>
          <w:szCs w:val="26"/>
        </w:rPr>
        <w:t xml:space="preserve">2.4 Detalle de los diagramas C4</w:t>
      </w:r>
    </w:p>
    <w:p>
      <w:pPr>
        <w:pStyle w:val="Heading3"/>
        <w:spacing w:after="100" w:before="180"/>
      </w:pPr>
      <w:r>
        <w:rPr>
          <w:rFonts w:ascii="Calibri" w:cs="Calibri" w:eastAsia="Calibri" w:hAnsi="Calibri"/>
          <w:b/>
          <w:bCs/>
          <w:color w:val="000000"/>
          <w:sz w:val="22"/>
          <w:szCs w:val="22"/>
        </w:rPr>
        <w:t xml:space="preserve">Tabla 1. Contenedores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60"/>
        <w:gridCol w:w="1500"/>
        <w:gridCol w:w="1100"/>
      </w:tblGrid>
      <w:tr>
        <w:trPr>
          <w:cantSplit/>
          <w:tblHeader/>
        </w:trPr>
        <w:tc>
          <w:tcPr>
            <w:tcW w:type="dxa" w:w="19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Contenedor</w:t>
            </w:r>
          </w:p>
        </w:tc>
        <w:tc>
          <w:tcPr>
            <w:tcW w:type="dxa" w:w="23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Tecnología</w:t>
            </w:r>
          </w:p>
        </w:tc>
        <w:tc>
          <w:tcPr>
            <w:tcW w:type="dxa" w:w="25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Interfaz y protocolo</w:t>
            </w:r>
          </w:p>
        </w:tc>
        <w:tc>
          <w:tcPr>
            <w:tcW w:type="dxa" w:w="1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Puerto</w:t>
            </w:r>
          </w:p>
        </w:tc>
        <w:tc>
          <w:tcPr>
            <w:tcW w:type="dxa" w:w="11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Estado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Panel web (SPA)</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React 19, Vite, Tailwind, recharts</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HTTPS TLS 1.3 hacia el usuario; REST JSON + JWT hacia la API</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443</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 backend online</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Python, FastAPI asíncrono, Docker, Cloud Run</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REST JSON sobre HTTPS TLS 1.3</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443 externo; 8080 interno (variable PORT)</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Base primaria (OLTP)</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PostgreSQL en Neon</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SQL asíncrono (SQLAlchemy + asyncpg) sobre TLS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5432</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Caché</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Redis administrado</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Protocolo Redis sobre TLS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6379</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Cola de eventos</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Servicio de mensajería administrado</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Publicación asíncrona de eventos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443</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Worker batch (ETL)</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Cloud Run Jobs, Python</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Consumo por lotes desde la cola; SQL hacia la réplica</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Réplica de lectura (OLAP)</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PostgreSQL en Neon (read replica)</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SQL de solo lectura sobre TLS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5432</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Blob Storage UK</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Azure Blob Storage</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HTTPS TLS 1.3 con URL SAS de 5 minutos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443</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 / externo</w:t>
            </w:r>
          </w:p>
        </w:tc>
      </w:tr>
    </w:tbl>
    <w:p>
      <w:pPr>
        <w:spacing w:after="100"/>
      </w:pPr>
    </w:p>
    <w:p>
      <w:pPr>
        <w:pStyle w:val="Heading3"/>
        <w:spacing w:after="100" w:before="180"/>
      </w:pPr>
      <w:r>
        <w:rPr>
          <w:rFonts w:ascii="Calibri" w:cs="Calibri" w:eastAsia="Calibri" w:hAnsi="Calibri"/>
          <w:b/>
          <w:bCs/>
          <w:color w:val="000000"/>
          <w:sz w:val="22"/>
          <w:szCs w:val="22"/>
        </w:rPr>
        <w:t xml:space="preserve">Tabla 2. Componentes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660"/>
        <w:gridCol w:w="1300"/>
      </w:tblGrid>
      <w:tr>
        <w:trPr>
          <w:cantSplit/>
          <w:tblHeader/>
        </w:trPr>
        <w:tc>
          <w:tcPr>
            <w:tcW w:type="dxa" w:w="23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Componente</w:t>
            </w:r>
          </w:p>
        </w:tc>
        <w:tc>
          <w:tcPr>
            <w:tcW w:type="dxa" w:w="31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Función</w:t>
            </w:r>
          </w:p>
        </w:tc>
        <w:tc>
          <w:tcPr>
            <w:tcW w:type="dxa" w:w="26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Interfaz o endpoint</w:t>
            </w:r>
          </w:p>
        </w:tc>
        <w:tc>
          <w:tcPr>
            <w:tcW w:type="dxa" w:w="13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Estado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Middleware CORS</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Restringe orígenes autorizados</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Todas las rutas</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Autenticación y RBAC</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Valida JWT y permisos por rol</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Dependencias de seguridad de FastAPI</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Validación de residencia UK</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Rechaza operaciones fuera de la región permitida</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Dependencia de seguridad</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Emisor de URLs SAS</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Firma URLs de subida con vigencia de 5 minutos</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Endpoint de emisión de URL</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Routers de gestión</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Clínicas, planes, finanzas, usuarios, roles y soporte</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/api/clinics, /api/plans y otros</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 de salud</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Chequeo de base de datos y tiempo de respuesta</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/api/platform/health-check (#22)</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 de costos</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Costo por servicio y semáforo de presupuesto</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/api/infrastructure/costs (#6)</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 de calidad SOAP</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Aceptación, ediciones y minutos ahorrados</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/api/ai/soap-quality (#9)</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Routers de analítica</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Retención por cohortes y radar de clínica</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/api/analytics/retention/heatmap (#8), /api/clinics/{id}/health-radar (#10)</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Routers de auditoría</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Historial por clínica y centro global</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/api/clinics/{id}/audit-logs (#15), /api/audit/logs (#16)</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Conector OLTP</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Pool asíncrono exclusivo para tiempo real</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Sesión SQLAlchemy asíncrona</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 (pool único hoy)</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Conector OLAP</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Pool de solo lectura hacia la réplica</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Sesión SQLAlchemy asíncrona</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bl>
    <w:p>
      <w:r>
        <w:br w:type="page"/>
      </w:r>
    </w:p>
    <w:p>
      <w:pPr>
        <w:pStyle w:val="Heading1"/>
        <w:spacing w:after="160" w:before="320"/>
      </w:pPr>
      <w:r>
        <w:rPr>
          <w:rFonts w:ascii="Calibri" w:cs="Calibri" w:eastAsia="Calibri" w:hAnsi="Calibri"/>
          <w:b/>
          <w:bCs/>
          <w:color w:val="000000"/>
          <w:sz w:val="32"/>
          <w:szCs w:val="32"/>
        </w:rPr>
        <w:t xml:space="preserve">3. Pipeline MLOps y servicios de inferencia</w:t>
      </w:r>
    </w:p>
    <w:p>
      <w:pPr>
        <w:spacing w:after="120" w:line="276"/>
        <w:jc w:val="both"/>
      </w:pPr>
      <w:r>
        <w:rPr>
          <w:rFonts w:ascii="Calibri" w:cs="Calibri" w:eastAsia="Calibri" w:hAnsi="Calibri"/>
          <w:color w:val="000000"/>
          <w:sz w:val="20"/>
          <w:szCs w:val="20"/>
        </w:rPr>
        <w:t xml:space="preserve">El pipeline describe el recorrido completo de una nota clínica SOAP, desde la sesión en la tablet hasta su monitoreo en WellQ Admin Site. Las etapas de inferencia pertenecen a la plataforma WellQ; las de telemetría y monitoreo están implementadas en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2200"/>
        <w:gridCol w:w="1560"/>
      </w:tblGrid>
      <w:tr>
        <w:trPr>
          <w:cantSplit/>
          <w:tblHeader/>
        </w:trPr>
        <w:tc>
          <w:tcPr>
            <w:tcW w:type="dxa" w:w="21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Etapa</w:t>
            </w:r>
          </w:p>
        </w:tc>
        <w:tc>
          <w:tcPr>
            <w:tcW w:type="dxa" w:w="3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Descripción</w:t>
            </w:r>
          </w:p>
        </w:tc>
        <w:tc>
          <w:tcPr>
            <w:tcW w:type="dxa" w:w="22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Tecnología</w:t>
            </w:r>
          </w:p>
        </w:tc>
        <w:tc>
          <w:tcPr>
            <w:tcW w:type="dxa" w:w="15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Plano / estado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 Ingesta</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La tablet sube la sesión (audio o texto) directo a Blob Storage mediante una URL SAS de 5 minutos</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Azure Blob Storage, HTTPS TLS 1.3</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propuesto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 Preprocesamiento</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Transcripción, limpieza y anonimización de datos personales según UK GDPR</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Python</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externo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 Invocación del modelo</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El modelo de lenguaje redacta la nota SOAP con SLA menor a 200 ms</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Servicio de IA de WellQ (proveedor por confirmar)</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externo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 Errores y fallbacks</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Reintentos con espera exponencial, Circuit Breaker, modelo de respaldo ligero y plantilla manual</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Lógica de la API de inferencia</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propuesto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5. Validación</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Revisa la estructura S-O-A-P y los campos obligatorios</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Python, FastAPI</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externo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6. Entrega</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El profesional acepta o edita la nota en la tablet</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HTTPS REST JSON</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externo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7. Telemetría</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Publica eventos sin bloquear; el worker batch los consolida en la tabla soap_quality_metrics</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Cola de eventos, Cloud Run Jobs, PostgreSQL</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Batch / tabla implementada</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8. Monitoreo</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Expone las métricas y las muestra en Analytics y Auditoría</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FastAPI, React</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Batch / implementado</w:t>
            </w:r>
          </w:p>
        </w:tc>
      </w:tr>
    </w:tbl>
    <w:p>
      <w:pPr>
        <w:spacing w:after="100"/>
      </w:pPr>
    </w:p>
    <w:p>
      <w:pPr>
        <w:pStyle w:val="Heading2"/>
        <w:spacing w:after="120" w:before="240"/>
      </w:pPr>
      <w:r>
        <w:rPr>
          <w:rFonts w:ascii="Calibri" w:cs="Calibri" w:eastAsia="Calibri" w:hAnsi="Calibri"/>
          <w:b/>
          <w:bCs/>
          <w:color w:val="000000"/>
          <w:sz w:val="26"/>
          <w:szCs w:val="26"/>
        </w:rPr>
        <w:t xml:space="preserve">3.1 Manejo de errores y fallbacks</w:t>
      </w:r>
    </w:p>
    <w:p>
      <w:pPr>
        <w:pStyle w:val="ListParagraph"/>
        <w:numPr>
          <w:ilvl w:val="0"/>
          <w:numId w:val="5"/>
        </w:numPr>
        <w:spacing w:after="70" w:line="270"/>
      </w:pPr>
      <w:r>
        <w:rPr>
          <w:rFonts w:ascii="Calibri" w:cs="Calibri" w:eastAsia="Calibri" w:hAnsi="Calibri"/>
          <w:b/>
          <w:bCs/>
          <w:color w:val="000000"/>
          <w:sz w:val="20"/>
          <w:szCs w:val="20"/>
        </w:rPr>
        <w:t xml:space="preserve">Reintento con espera exponencial: </w:t>
      </w:r>
      <w:r>
        <w:rPr>
          <w:rFonts w:ascii="Calibri" w:cs="Calibri" w:eastAsia="Calibri" w:hAnsi="Calibri"/>
          <w:color w:val="000000"/>
          <w:sz w:val="20"/>
          <w:szCs w:val="20"/>
        </w:rPr>
        <w:t xml:space="preserve">ante fallas transitorias, se reintenta con intervalos crecientes y un tope de intentos.</w:t>
      </w:r>
    </w:p>
    <w:p>
      <w:pPr>
        <w:pStyle w:val="ListParagraph"/>
        <w:numPr>
          <w:ilvl w:val="0"/>
          <w:numId w:val="5"/>
        </w:numPr>
        <w:spacing w:after="70" w:line="270"/>
      </w:pPr>
      <w:r>
        <w:rPr>
          <w:rFonts w:ascii="Calibri" w:cs="Calibri" w:eastAsia="Calibri" w:hAnsi="Calibri"/>
          <w:b/>
          <w:bCs/>
          <w:color w:val="000000"/>
          <w:sz w:val="20"/>
          <w:szCs w:val="20"/>
        </w:rPr>
        <w:t xml:space="preserve">Circuit Breaker: </w:t>
      </w:r>
      <w:r>
        <w:rPr>
          <w:rFonts w:ascii="Calibri" w:cs="Calibri" w:eastAsia="Calibri" w:hAnsi="Calibri"/>
          <w:color w:val="000000"/>
          <w:sz w:val="20"/>
          <w:szCs w:val="20"/>
        </w:rPr>
        <w:t xml:space="preserve">si la tasa de errores supera un umbral, se deja de invocar al modelo principal por un período y se pasa al respaldo.</w:t>
      </w:r>
    </w:p>
    <w:p>
      <w:pPr>
        <w:pStyle w:val="ListParagraph"/>
        <w:numPr>
          <w:ilvl w:val="0"/>
          <w:numId w:val="5"/>
        </w:numPr>
        <w:spacing w:after="70" w:line="270"/>
      </w:pPr>
      <w:r>
        <w:rPr>
          <w:rFonts w:ascii="Calibri" w:cs="Calibri" w:eastAsia="Calibri" w:hAnsi="Calibri"/>
          <w:b/>
          <w:bCs/>
          <w:color w:val="000000"/>
          <w:sz w:val="20"/>
          <w:szCs w:val="20"/>
        </w:rPr>
        <w:t xml:space="preserve">Modelo de respaldo ligero: </w:t>
      </w:r>
      <w:r>
        <w:rPr>
          <w:rFonts w:ascii="Calibri" w:cs="Calibri" w:eastAsia="Calibri" w:hAnsi="Calibri"/>
          <w:color w:val="000000"/>
          <w:sz w:val="20"/>
          <w:szCs w:val="20"/>
        </w:rPr>
        <w:t xml:space="preserve">redacta una nota base cuando el modelo principal no responde dentro del SLA.</w:t>
      </w:r>
    </w:p>
    <w:p>
      <w:pPr>
        <w:pStyle w:val="ListParagraph"/>
        <w:numPr>
          <w:ilvl w:val="0"/>
          <w:numId w:val="5"/>
        </w:numPr>
        <w:spacing w:after="70" w:line="270"/>
      </w:pPr>
      <w:r>
        <w:rPr>
          <w:rFonts w:ascii="Calibri" w:cs="Calibri" w:eastAsia="Calibri" w:hAnsi="Calibri"/>
          <w:b/>
          <w:bCs/>
          <w:color w:val="000000"/>
          <w:sz w:val="20"/>
          <w:szCs w:val="20"/>
        </w:rPr>
        <w:t xml:space="preserve">Plantilla manual: </w:t>
      </w:r>
      <w:r>
        <w:rPr>
          <w:rFonts w:ascii="Calibri" w:cs="Calibri" w:eastAsia="Calibri" w:hAnsi="Calibri"/>
          <w:color w:val="000000"/>
          <w:sz w:val="20"/>
          <w:szCs w:val="20"/>
        </w:rPr>
        <w:t xml:space="preserve">si todo falla, el profesional recibe una plantilla SOAP vacía. Cada fallo queda en el registro de auditoría.</w:t>
      </w:r>
    </w:p>
    <w:p>
      <w:pPr>
        <w:pStyle w:val="Heading2"/>
        <w:spacing w:after="120" w:before="240"/>
      </w:pPr>
      <w:r>
        <w:rPr>
          <w:rFonts w:ascii="Calibri" w:cs="Calibri" w:eastAsia="Calibri" w:hAnsi="Calibri"/>
          <w:b/>
          <w:bCs/>
          <w:color w:val="000000"/>
          <w:sz w:val="26"/>
          <w:szCs w:val="26"/>
        </w:rPr>
        <w:t xml:space="preserve">3.2 Telemetría y auditoría</w:t>
      </w:r>
    </w:p>
    <w:p>
      <w:pPr>
        <w:spacing w:after="120" w:line="276"/>
        <w:jc w:val="both"/>
      </w:pPr>
      <w:r>
        <w:rPr>
          <w:rFonts w:ascii="Calibri" w:cs="Calibri" w:eastAsia="Calibri" w:hAnsi="Calibri"/>
          <w:color w:val="000000"/>
          <w:sz w:val="20"/>
          <w:szCs w:val="20"/>
        </w:rPr>
        <w:t xml:space="preserve">La calidad del servicio se mide con cuatro indicadores almacenados por período: total de notas generadas, porcentaje de aceptación, porcentaje que requiere edición y minutos ahorrados por nota, además de las correcciones más comunes. El panel los presenta en la tarjeta de calidad SOAP del menú Analytics. Hoy estos valores corresponden a datos de demostración.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500"/>
              <w:left w:type="dxa" w:w="200"/>
              <w:bottom w:type="dxa" w:w="500"/>
              <w:right w:type="dxa" w:w="200"/>
            </w:tcMar>
          </w:tcPr>
          <w:p>
            <w:pPr>
              <w:jc w:val="center"/>
            </w:pPr>
            <w:r>
              <w:rPr>
                <w:rFonts w:ascii="Calibri" w:cs="Calibri" w:eastAsia="Calibri" w:hAnsi="Calibri"/>
                <w:b/>
                <w:bCs/>
                <w:color w:val="000000"/>
                <w:sz w:val="20"/>
                <w:szCs w:val="20"/>
              </w:rPr>
              <w:t xml:space="preserve">[INSERTAR FIGURA 4: PIPELINE MLOPS Y SERVICIOS DE INFERENCIA #CORREGIDO CON AISLAMIENTO ESTRICTO]</w:t>
            </w:r>
          </w:p>
        </w:tc>
      </w:tr>
    </w:tbl>
    <w:p>
      <w:pPr>
        <w:spacing w:after="200" w:before="60"/>
        <w:jc w:val="center"/>
      </w:pPr>
      <w:r>
        <w:rPr>
          <w:rFonts w:ascii="Calibri" w:cs="Calibri" w:eastAsia="Calibri" w:hAnsi="Calibri"/>
          <w:i/>
          <w:iCs/>
          <w:color w:val="000000"/>
          <w:sz w:val="18"/>
          <w:szCs w:val="18"/>
        </w:rPr>
        <w:t xml:space="preserve">Figura 4. Pipeline de inferencia de notas SOAP con aislamiento entre planos.</w:t>
      </w:r>
    </w:p>
    <w:p>
      <w:r>
        <w:br w:type="page"/>
      </w:r>
    </w:p>
    <w:p>
      <w:pPr>
        <w:pStyle w:val="Heading1"/>
        <w:spacing w:after="160" w:before="320"/>
      </w:pPr>
      <w:r>
        <w:rPr>
          <w:rFonts w:ascii="Calibri" w:cs="Calibri" w:eastAsia="Calibri" w:hAnsi="Calibri"/>
          <w:b/>
          <w:bCs/>
          <w:color w:val="000000"/>
          <w:sz w:val="32"/>
          <w:szCs w:val="32"/>
        </w:rPr>
        <w:t xml:space="preserve">Capítulo II. Evaluación Técnica y Económica (ERV) e incidente de cátedra</w:t>
      </w:r>
    </w:p>
    <w:p>
      <w:pPr>
        <w:pStyle w:val="Heading1"/>
        <w:spacing w:after="160" w:before="320"/>
      </w:pPr>
      <w:r>
        <w:rPr>
          <w:rFonts w:ascii="Calibri" w:cs="Calibri" w:eastAsia="Calibri" w:hAnsi="Calibri"/>
          <w:b/>
          <w:bCs/>
          <w:color w:val="000000"/>
          <w:sz w:val="32"/>
          <w:szCs w:val="32"/>
        </w:rPr>
        <w:t xml:space="preserve">4. Resolución justificada del incidente de cátedra</w:t>
      </w:r>
    </w:p>
    <w:p>
      <w:pPr>
        <w:pStyle w:val="Heading2"/>
        <w:spacing w:after="120" w:before="240"/>
      </w:pPr>
      <w:r>
        <w:rPr>
          <w:rFonts w:ascii="Calibri" w:cs="Calibri" w:eastAsia="Calibri" w:hAnsi="Calibri"/>
          <w:b/>
          <w:bCs/>
          <w:color w:val="000000"/>
          <w:sz w:val="26"/>
          <w:szCs w:val="26"/>
        </w:rPr>
        <w:t xml:space="preserve">4.1 Incidente planteado</w:t>
      </w:r>
    </w:p>
    <w:p>
      <w:pPr>
        <w:spacing w:after="120" w:line="276"/>
        <w:jc w:val="both"/>
      </w:pPr>
      <w:r>
        <w:rPr>
          <w:rFonts w:ascii="Calibri" w:cs="Calibri" w:eastAsia="Calibri" w:hAnsi="Calibri"/>
          <w:color w:val="000000"/>
          <w:sz w:val="20"/>
          <w:szCs w:val="20"/>
        </w:rPr>
        <w:t xml:space="preserve">A mitad de la sesión del taller, la cátedra introdujo tres restricciones sobre la arquitectura:</w:t>
      </w:r>
    </w:p>
    <w:p>
      <w:pPr>
        <w:pStyle w:val="ListParagraph"/>
        <w:numPr>
          <w:ilvl w:val="0"/>
          <w:numId w:val="6"/>
        </w:numPr>
        <w:spacing w:after="70" w:line="270"/>
      </w:pPr>
      <w:r>
        <w:rPr>
          <w:rFonts w:ascii="Calibri" w:cs="Calibri" w:eastAsia="Calibri" w:hAnsi="Calibri"/>
          <w:b/>
          <w:bCs/>
          <w:color w:val="000000"/>
          <w:sz w:val="20"/>
          <w:szCs w:val="20"/>
        </w:rPr>
        <w:t xml:space="preserve">Latencia: </w:t>
      </w:r>
      <w:r>
        <w:rPr>
          <w:rFonts w:ascii="Calibri" w:cs="Calibri" w:eastAsia="Calibri" w:hAnsi="Calibri"/>
          <w:color w:val="000000"/>
          <w:sz w:val="20"/>
          <w:szCs w:val="20"/>
        </w:rPr>
        <w:t xml:space="preserve">el plano de tiempo real debe responder en menos de 200 ms bajo alta concurrencia.</w:t>
      </w:r>
    </w:p>
    <w:p>
      <w:pPr>
        <w:pStyle w:val="ListParagraph"/>
        <w:numPr>
          <w:ilvl w:val="0"/>
          <w:numId w:val="6"/>
        </w:numPr>
        <w:spacing w:after="70" w:line="270"/>
      </w:pPr>
      <w:r>
        <w:rPr>
          <w:rFonts w:ascii="Calibri" w:cs="Calibri" w:eastAsia="Calibri" w:hAnsi="Calibri"/>
          <w:b/>
          <w:bCs/>
          <w:color w:val="000000"/>
          <w:sz w:val="20"/>
          <w:szCs w:val="20"/>
        </w:rPr>
        <w:t xml:space="preserve">Aislamiento: </w:t>
      </w:r>
      <w:r>
        <w:rPr>
          <w:rFonts w:ascii="Calibri" w:cs="Calibri" w:eastAsia="Calibri" w:hAnsi="Calibri"/>
          <w:color w:val="000000"/>
          <w:sz w:val="20"/>
          <w:szCs w:val="20"/>
        </w:rPr>
        <w:t xml:space="preserve">la analítica batch y la API de inferencia en tiempo real deben quedar separadas de forma estricta, sin recursos compartidos.</w:t>
      </w:r>
    </w:p>
    <w:p>
      <w:pPr>
        <w:pStyle w:val="ListParagraph"/>
        <w:numPr>
          <w:ilvl w:val="0"/>
          <w:numId w:val="6"/>
        </w:numPr>
        <w:spacing w:after="70" w:line="270"/>
      </w:pPr>
      <w:r>
        <w:rPr>
          <w:rFonts w:ascii="Calibri" w:cs="Calibri" w:eastAsia="Calibri" w:hAnsi="Calibri"/>
          <w:b/>
          <w:bCs/>
          <w:color w:val="000000"/>
          <w:sz w:val="20"/>
          <w:szCs w:val="20"/>
        </w:rPr>
        <w:t xml:space="preserve">Ingesta segura: </w:t>
      </w:r>
      <w:r>
        <w:rPr>
          <w:rFonts w:ascii="Calibri" w:cs="Calibri" w:eastAsia="Calibri" w:hAnsi="Calibri"/>
          <w:color w:val="000000"/>
          <w:sz w:val="20"/>
          <w:szCs w:val="20"/>
        </w:rPr>
        <w:t xml:space="preserve">los archivos de las sesiones clínicas deben subirse mediante URLs SAS cifradas y con residencia de datos en el Reino Unido.</w:t>
      </w:r>
    </w:p>
    <w:p>
      <w:pPr>
        <w:pStyle w:val="Heading2"/>
        <w:spacing w:after="120" w:before="240"/>
      </w:pPr>
      <w:r>
        <w:rPr>
          <w:rFonts w:ascii="Calibri" w:cs="Calibri" w:eastAsia="Calibri" w:hAnsi="Calibri"/>
          <w:b/>
          <w:bCs/>
          <w:color w:val="000000"/>
          <w:sz w:val="26"/>
          <w:szCs w:val="26"/>
        </w:rPr>
        <w:t xml:space="preserve">4.2 Diagnóstico de la arquitectura original</w:t>
      </w:r>
    </w:p>
    <w:p>
      <w:pPr>
        <w:spacing w:after="120" w:line="276"/>
        <w:jc w:val="both"/>
      </w:pPr>
      <w:r>
        <w:rPr>
          <w:rFonts w:ascii="Calibri" w:cs="Calibri" w:eastAsia="Calibri" w:hAnsi="Calibri"/>
          <w:color w:val="000000"/>
          <w:sz w:val="20"/>
          <w:szCs w:val="20"/>
        </w:rPr>
        <w:t xml:space="preserve">La arquitectura implementada usa una única base de datos y un único pool de conexiones para todas las operaciones. Las consultas transaccionales del panel y las consultas analíticas (calidad SOAP, retención por cohortes, auditoría con filtros y exportación) compiten por las mismas conexiones y el mismo cómputo de Neon.</w:t>
      </w:r>
    </w:p>
    <w:p>
      <w:pPr>
        <w:spacing w:after="120" w:line="276"/>
        <w:jc w:val="both"/>
      </w:pPr>
      <w:r>
        <w:rPr>
          <w:rFonts w:ascii="Calibri" w:cs="Calibri" w:eastAsia="Calibri" w:hAnsi="Calibri"/>
          <w:color w:val="000000"/>
          <w:sz w:val="20"/>
          <w:szCs w:val="20"/>
        </w:rPr>
        <w:t xml:space="preserve">Bajo la carga concurrente que plantea el incidente, una consulta analítica pesada puede ocupar conexiones del pool y aumentar la latencia de las operaciones en vivo por sobre el umbral de 200 ms. Además, si los archivos de audio pasaran por la API, cada subida ocuparía un worker durante toda la transferencia. La arquitectura original no satisface ninguna de las tres restricciones de forma garantizada.</w:t>
      </w:r>
    </w:p>
    <w:p>
      <w:pPr>
        <w:pStyle w:val="Heading2"/>
        <w:spacing w:after="120" w:before="240"/>
      </w:pPr>
      <w:r>
        <w:rPr>
          <w:rFonts w:ascii="Calibri" w:cs="Calibri" w:eastAsia="Calibri" w:hAnsi="Calibri"/>
          <w:b/>
          <w:bCs/>
          <w:color w:val="000000"/>
          <w:sz w:val="26"/>
          <w:szCs w:val="26"/>
        </w:rPr>
        <w:t xml:space="preserve">4.3 Solución arquitectónica adoptada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cantSplit/>
          <w:tblHeader/>
        </w:trPr>
        <w:tc>
          <w:tcPr>
            <w:tcW w:type="dxa" w:w="23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Decisión</w:t>
            </w:r>
          </w:p>
        </w:tc>
        <w:tc>
          <w:tcPr>
            <w:tcW w:type="dxa" w:w="40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Justificación</w:t>
            </w:r>
          </w:p>
        </w:tc>
        <w:tc>
          <w:tcPr>
            <w:tcW w:type="dxa" w:w="30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Alternativa descartada</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Separar en plano de tiempo real y plano batch</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Garantiza que la analítica nunca consuma recursos del tiempo real, como exige el incidente</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Limitar consultas pesadas por horario: no da garantía ante picos</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Réplica de lectura (OLAP) con pool propio</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Las consultas analíticas se ejecutan sobre una copia; la base primaria queda dedicada a transacciones</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Escalar verticalmente la base única: más costo y el bloqueo persiste</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Caché Redis en memoria</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Responde en menos de 20 ms los datos de consulta frecuente y deja margen dentro de los 200 ms</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Índices adicionales: ayudan, pero no bajan la latencia lo suficiente bajo carga</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Subida directa con URLs SAS de 5 minutos y TLS 1.3</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Las tablets suben a Blob Storage sin pasar por la API; la URL caduca rápido y el archivo viaja cifrado</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Subir a través de la API: ocupa workers y amplía la superficie de exposición</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Cola de eventos y worker batch</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La telemetría se publica sin esperar respuesta; el procesamiento ocurre fuera del camino crítico</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Escritura síncrona de telemetría: suma latencia a cada solicitud</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Circuit Breaker en la inferencia</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Corta rápido cuando el modelo falla y activa el respaldo, evitando colas de espera</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Reintentos sin límite: agotan recursos ante fallas prolongadas</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Despliegue en región de Londres</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Cumple la residencia de datos exigida por UK GDPR</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Mantener región Santiago: incumple la restricción</w:t>
            </w:r>
          </w:p>
        </w:tc>
      </w:tr>
    </w:tbl>
    <w:p>
      <w:pPr>
        <w:spacing w:after="100"/>
      </w:pPr>
    </w:p>
    <w:p>
      <w:pPr>
        <w:pStyle w:val="Heading2"/>
        <w:spacing w:after="120" w:before="240"/>
      </w:pPr>
      <w:r>
        <w:rPr>
          <w:rFonts w:ascii="Calibri" w:cs="Calibri" w:eastAsia="Calibri" w:hAnsi="Calibri"/>
          <w:b/>
          <w:bCs/>
          <w:color w:val="000000"/>
          <w:sz w:val="26"/>
          <w:szCs w:val="26"/>
        </w:rPr>
        <w:t xml:space="preserve">4.4 Impacto en el proyecto</w:t>
      </w:r>
    </w:p>
    <w:p>
      <w:pPr>
        <w:pStyle w:val="ListParagraph"/>
        <w:numPr>
          <w:ilvl w:val="0"/>
          <w:numId w:val="2"/>
        </w:numPr>
        <w:spacing w:after="70" w:line="270"/>
      </w:pPr>
      <w:r>
        <w:rPr>
          <w:rFonts w:ascii="Calibri" w:cs="Calibri" w:eastAsia="Calibri" w:hAnsi="Calibri"/>
          <w:b/>
          <w:bCs/>
          <w:color w:val="000000"/>
          <w:sz w:val="20"/>
          <w:szCs w:val="20"/>
        </w:rPr>
        <w:t xml:space="preserve">Alcance y presupuesto (BAC): </w:t>
      </w:r>
      <w:r>
        <w:rPr>
          <w:rFonts w:ascii="Calibri" w:cs="Calibri" w:eastAsia="Calibri" w:hAnsi="Calibri"/>
          <w:color w:val="000000"/>
          <w:sz w:val="20"/>
          <w:szCs w:val="20"/>
        </w:rPr>
        <w:t xml:space="preserve">el rediseño se entrega como arquitectura objetivo documentada y no modifica el BAC de 141,40 UF. Su implementación completa queda fuera del alcance actual y se estima dentro del CAPEX de 800 HH de la evaluación económica.</w:t>
      </w:r>
    </w:p>
    <w:p>
      <w:pPr>
        <w:pStyle w:val="ListParagraph"/>
        <w:numPr>
          <w:ilvl w:val="0"/>
          <w:numId w:val="2"/>
        </w:numPr>
        <w:spacing w:after="70" w:line="270"/>
      </w:pPr>
      <w:r>
        <w:rPr>
          <w:rFonts w:ascii="Calibri" w:cs="Calibri" w:eastAsia="Calibri" w:hAnsi="Calibri"/>
          <w:b/>
          <w:bCs/>
          <w:color w:val="000000"/>
          <w:sz w:val="20"/>
          <w:szCs w:val="20"/>
        </w:rPr>
        <w:t xml:space="preserve">Costos de operación: </w:t>
      </w:r>
      <w:r>
        <w:rPr>
          <w:rFonts w:ascii="Calibri" w:cs="Calibri" w:eastAsia="Calibri" w:hAnsi="Calibri"/>
          <w:color w:val="000000"/>
          <w:sz w:val="20"/>
          <w:szCs w:val="20"/>
        </w:rPr>
        <w:t xml:space="preserve">la réplica, la caché y la cola agregan costo mensual. Al ser servicios administrados con cobro por uso, el aumento se mantiene acotado y se cuantifica en el OPEX de la sección 5.</w:t>
      </w:r>
    </w:p>
    <w:p>
      <w:pPr>
        <w:pStyle w:val="ListParagraph"/>
        <w:numPr>
          <w:ilvl w:val="0"/>
          <w:numId w:val="2"/>
        </w:numPr>
        <w:spacing w:after="70" w:line="270"/>
      </w:pPr>
      <w:r>
        <w:rPr>
          <w:rFonts w:ascii="Calibri" w:cs="Calibri" w:eastAsia="Calibri" w:hAnsi="Calibri"/>
          <w:b/>
          <w:bCs/>
          <w:color w:val="000000"/>
          <w:sz w:val="20"/>
          <w:szCs w:val="20"/>
        </w:rPr>
        <w:t xml:space="preserve">Riesgos mitigados: </w:t>
      </w:r>
      <w:r>
        <w:rPr>
          <w:rFonts w:ascii="Calibri" w:cs="Calibri" w:eastAsia="Calibri" w:hAnsi="Calibri"/>
          <w:color w:val="000000"/>
          <w:sz w:val="20"/>
          <w:szCs w:val="20"/>
        </w:rPr>
        <w:t xml:space="preserve">saturación del pool por consultas analíticas, degradación del servicio en picos de carga y exposición de datos clínicos durante la subida.</w:t>
      </w:r>
    </w:p>
    <w:p>
      <w:pPr>
        <w:pStyle w:val="Heading2"/>
        <w:spacing w:after="120" w:before="240"/>
      </w:pPr>
      <w:r>
        <w:rPr>
          <w:rFonts w:ascii="Calibri" w:cs="Calibri" w:eastAsia="Calibri" w:hAnsi="Calibri"/>
          <w:b/>
          <w:bCs/>
          <w:color w:val="000000"/>
          <w:sz w:val="26"/>
          <w:szCs w:val="26"/>
        </w:rPr>
        <w:t xml:space="preserve">4.5 Riesgos residuales</w:t>
      </w:r>
    </w:p>
    <w:p>
      <w:pPr>
        <w:pStyle w:val="ListParagraph"/>
        <w:numPr>
          <w:ilvl w:val="0"/>
          <w:numId w:val="2"/>
        </w:numPr>
        <w:spacing w:after="70" w:line="270"/>
      </w:pPr>
      <w:r>
        <w:rPr>
          <w:rFonts w:ascii="Calibri" w:cs="Calibri" w:eastAsia="Calibri" w:hAnsi="Calibri"/>
          <w:b/>
          <w:bCs/>
          <w:color w:val="000000"/>
          <w:sz w:val="20"/>
          <w:szCs w:val="20"/>
        </w:rPr>
        <w:t xml:space="preserve">Desfase de la réplica: </w:t>
      </w:r>
      <w:r>
        <w:rPr>
          <w:rFonts w:ascii="Calibri" w:cs="Calibri" w:eastAsia="Calibri" w:hAnsi="Calibri"/>
          <w:color w:val="000000"/>
          <w:sz w:val="20"/>
          <w:szCs w:val="20"/>
        </w:rPr>
        <w:t xml:space="preserve">la replicación asíncrona implica que la analítica puede mostrar datos con algunos segundos de atraso. Es aceptable para métricas históricas.</w:t>
      </w:r>
    </w:p>
    <w:p>
      <w:pPr>
        <w:pStyle w:val="ListParagraph"/>
        <w:numPr>
          <w:ilvl w:val="0"/>
          <w:numId w:val="2"/>
        </w:numPr>
        <w:spacing w:after="70" w:line="270"/>
      </w:pPr>
      <w:r>
        <w:rPr>
          <w:rFonts w:ascii="Calibri" w:cs="Calibri" w:eastAsia="Calibri" w:hAnsi="Calibri"/>
          <w:b/>
          <w:bCs/>
          <w:color w:val="000000"/>
          <w:sz w:val="20"/>
          <w:szCs w:val="20"/>
        </w:rPr>
        <w:t xml:space="preserve">Dependencia del proveedor de IA: </w:t>
      </w:r>
      <w:r>
        <w:rPr>
          <w:rFonts w:ascii="Calibri" w:cs="Calibri" w:eastAsia="Calibri" w:hAnsi="Calibri"/>
          <w:color w:val="000000"/>
          <w:sz w:val="20"/>
          <w:szCs w:val="20"/>
        </w:rPr>
        <w:t xml:space="preserve">el SLA de 200 ms depende también del servicio de inferencia de WellQ, que no controla este proyecto.</w:t>
      </w:r>
    </w:p>
    <w:p>
      <w:pPr>
        <w:pStyle w:val="ListParagraph"/>
        <w:numPr>
          <w:ilvl w:val="0"/>
          <w:numId w:val="2"/>
        </w:numPr>
        <w:spacing w:after="70" w:line="270"/>
      </w:pPr>
      <w:r>
        <w:rPr>
          <w:rFonts w:ascii="Calibri" w:cs="Calibri" w:eastAsia="Calibri" w:hAnsi="Calibri"/>
          <w:b/>
          <w:bCs/>
          <w:color w:val="000000"/>
          <w:sz w:val="20"/>
          <w:szCs w:val="20"/>
        </w:rPr>
        <w:t xml:space="preserve">Consistencia de la caché: </w:t>
      </w:r>
      <w:r>
        <w:rPr>
          <w:rFonts w:ascii="Calibri" w:cs="Calibri" w:eastAsia="Calibri" w:hAnsi="Calibri"/>
          <w:color w:val="000000"/>
          <w:sz w:val="20"/>
          <w:szCs w:val="20"/>
        </w:rPr>
        <w:t xml:space="preserve">requiere reglas de invalidación para no mostrar datos obsoletos.</w:t>
      </w:r>
    </w:p>
    <w:p>
      <w:pPr>
        <w:pStyle w:val="ListParagraph"/>
        <w:numPr>
          <w:ilvl w:val="0"/>
          <w:numId w:val="2"/>
        </w:numPr>
        <w:spacing w:after="70" w:line="270"/>
      </w:pPr>
      <w:r>
        <w:rPr>
          <w:rFonts w:ascii="Calibri" w:cs="Calibri" w:eastAsia="Calibri" w:hAnsi="Calibri"/>
          <w:b/>
          <w:bCs/>
          <w:color w:val="000000"/>
          <w:sz w:val="20"/>
          <w:szCs w:val="20"/>
        </w:rPr>
        <w:t xml:space="preserve">Validación pendiente: </w:t>
      </w:r>
      <w:r>
        <w:rPr>
          <w:rFonts w:ascii="Calibri" w:cs="Calibri" w:eastAsia="Calibri" w:hAnsi="Calibri"/>
          <w:color w:val="000000"/>
          <w:sz w:val="20"/>
          <w:szCs w:val="20"/>
        </w:rPr>
        <w:t xml:space="preserve">la latencia objetivo debe confirmarse con pruebas de carga una vez implementada la arquitectura.</w:t>
      </w:r>
    </w:p>
    <w:p>
      <w:r>
        <w:br w:type="page"/>
      </w:r>
    </w:p>
    <w:p>
      <w:pPr>
        <w:pStyle w:val="Heading1"/>
        <w:spacing w:after="160" w:before="320"/>
      </w:pPr>
      <w:r>
        <w:rPr>
          <w:rFonts w:ascii="Calibri" w:cs="Calibri" w:eastAsia="Calibri" w:hAnsi="Calibri"/>
          <w:b/>
          <w:bCs/>
          <w:color w:val="000000"/>
          <w:sz w:val="32"/>
          <w:szCs w:val="32"/>
        </w:rPr>
        <w:t xml:space="preserve">5. Evaluación económica y financiera</w:t>
      </w:r>
    </w:p>
    <w:p>
      <w:pPr>
        <w:pStyle w:val="Heading2"/>
        <w:spacing w:after="120" w:before="240"/>
      </w:pPr>
      <w:r>
        <w:rPr>
          <w:rFonts w:ascii="Calibri" w:cs="Calibri" w:eastAsia="Calibri" w:hAnsi="Calibri"/>
          <w:b/>
          <w:bCs/>
          <w:color w:val="000000"/>
          <w:sz w:val="26"/>
          <w:szCs w:val="26"/>
        </w:rPr>
        <w:t xml:space="preserve">5.1 Supuestos del modelo</w:t>
      </w:r>
    </w:p>
    <w:p>
      <w:pPr>
        <w:spacing w:after="120" w:line="276"/>
        <w:jc w:val="both"/>
      </w:pPr>
      <w:r>
        <w:rPr>
          <w:rFonts w:ascii="Calibri" w:cs="Calibri" w:eastAsia="Calibri" w:hAnsi="Calibri"/>
          <w:color w:val="000000"/>
          <w:sz w:val="20"/>
          <w:szCs w:val="20"/>
        </w:rPr>
        <w:t xml:space="preserve">Las cifras de esta sección se basan en supuestos del equipo. Los datos comerciales (número de clínicas y precio) deben validarse con Alloxentric antes de una decisión definitiva.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cantSplit/>
          <w:tblHeader/>
        </w:trPr>
        <w:tc>
          <w:tcPr>
            <w:tcW w:type="dxa" w:w="42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Supuesto</w:t>
            </w:r>
          </w:p>
        </w:tc>
        <w:tc>
          <w:tcPr>
            <w:tcW w:type="dxa" w:w="21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Valor</w:t>
            </w:r>
          </w:p>
        </w:tc>
        <w:tc>
          <w:tcPr>
            <w:tcW w:type="dxa" w:w="30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Fuente o criterio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Valor de la hora-hombre</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0,14 UF/HH</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Línea base del proyecto (BAC)</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Esfuerzo de implementación (CAPEX)</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800 HH</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Pauta del caso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Horizonte de evaluación</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36 meses</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Criterio del equipo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Tasa de descuento</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12 % anual (0,95 % mensual)</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Criterio del equipo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Clínicas suscritas en el Reino Unido</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20</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Supuesto a validar</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Suscripción mensual promedio por clínica</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4,0 UF</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Supuesto a validar</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Prima de precio por explicabilidad y auditoría</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20 %</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Pauta del caso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Adopción de la prima</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0 % meses 1-3; 50 % meses 4-12; 100 % desde el mes 13</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Criterio del equipo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Horas mensuales de soporte clínico</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80 HH</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Supuesto a validar</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Reducción del TTR</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15 %</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Pauta del caso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Infraestructura cloud administrada</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2,5 UF/mes</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Estimación de Cloud Run, Neon con réplica, Redis, cola y almacenamiento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Mantenimiento</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10 HH/mes (1,4 UF)</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Criterio del equipo</w:t>
            </w:r>
          </w:p>
        </w:tc>
      </w:tr>
    </w:tbl>
    <w:p>
      <w:pPr>
        <w:spacing w:after="100"/>
      </w:pPr>
    </w:p>
    <w:p>
      <w:pPr>
        <w:pStyle w:val="Heading2"/>
        <w:spacing w:after="120" w:before="240"/>
      </w:pPr>
      <w:r>
        <w:rPr>
          <w:rFonts w:ascii="Calibri" w:cs="Calibri" w:eastAsia="Calibri" w:hAnsi="Calibri"/>
          <w:b/>
          <w:bCs/>
          <w:color w:val="000000"/>
          <w:sz w:val="26"/>
          <w:szCs w:val="26"/>
        </w:rPr>
        <w:t xml:space="preserve">5.2 Estructura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cantSplit/>
          <w:tblHeader/>
        </w:trPr>
        <w:tc>
          <w:tcPr>
            <w:tcW w:type="dxa" w:w="36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Concepto</w:t>
            </w:r>
          </w:p>
        </w:tc>
        <w:tc>
          <w:tcPr>
            <w:tcW w:type="dxa" w:w="24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Monto</w:t>
            </w:r>
          </w:p>
        </w:tc>
        <w:tc>
          <w:tcPr>
            <w:tcW w:type="dxa" w:w="33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Observación</w:t>
            </w:r>
          </w:p>
        </w:tc>
      </w:tr>
      <w:tr>
        <w:trPr>
          <w:cantSplit/>
          <w:tblHeader w:val="false"/>
        </w:trPr>
        <w:tc>
          <w:tcPr>
            <w:tcW w:type="dxa" w:w="3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CAPEX: desarrollo e integración</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112,00 UF</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800 HH × 0,14 UF/HH, en el mes 0</w:t>
            </w:r>
          </w:p>
        </w:tc>
      </w:tr>
      <w:tr>
        <w:trPr>
          <w:cantSplit/>
          <w:tblHeader w:val="false"/>
        </w:trPr>
        <w:tc>
          <w:tcPr>
            <w:tcW w:type="dxa" w:w="3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OPEX: infraestructura cloud</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2,50 UF/mes</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Servicios administrados con cobro por uso</w:t>
            </w:r>
          </w:p>
        </w:tc>
      </w:tr>
      <w:tr>
        <w:trPr>
          <w:cantSplit/>
          <w:tblHeader w:val="false"/>
        </w:trPr>
        <w:tc>
          <w:tcPr>
            <w:tcW w:type="dxa" w:w="3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OPEX: mantenimiento</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1,40 UF/mes</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10 HH × 0,14 UF/HH</w:t>
            </w:r>
          </w:p>
        </w:tc>
      </w:tr>
      <w:tr>
        <w:trPr>
          <w:cantSplit/>
          <w:tblHeader w:val="false"/>
        </w:trPr>
        <w:tc>
          <w:tcPr>
            <w:tcW w:type="dxa" w:w="3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OPEX total</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3,90 UF/mes</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46,80 UF/año</w:t>
            </w:r>
          </w:p>
        </w:tc>
      </w:tr>
    </w:tbl>
    <w:p>
      <w:pPr>
        <w:spacing w:after="100"/>
      </w:pPr>
    </w:p>
    <w:p>
      <w:pPr>
        <w:pStyle w:val="Heading2"/>
        <w:spacing w:after="120" w:before="240"/>
      </w:pPr>
      <w:r>
        <w:rPr>
          <w:rFonts w:ascii="Calibri" w:cs="Calibri" w:eastAsia="Calibri" w:hAnsi="Calibri"/>
          <w:b/>
          <w:bCs/>
          <w:color w:val="000000"/>
          <w:sz w:val="26"/>
          <w:szCs w:val="26"/>
        </w:rPr>
        <w:t xml:space="preserve">5.3 Beneficios comerciales</w:t>
      </w:r>
    </w:p>
    <w:p>
      <w:pPr>
        <w:pStyle w:val="ListParagraph"/>
        <w:numPr>
          <w:ilvl w:val="0"/>
          <w:numId w:val="2"/>
        </w:numPr>
        <w:spacing w:after="70" w:line="270"/>
      </w:pPr>
      <w:r>
        <w:rPr>
          <w:rFonts w:ascii="Calibri" w:cs="Calibri" w:eastAsia="Calibri" w:hAnsi="Calibri"/>
          <w:b/>
          <w:bCs/>
          <w:color w:val="000000"/>
          <w:sz w:val="20"/>
          <w:szCs w:val="20"/>
        </w:rPr>
        <w:t xml:space="preserve">Prima de precio de 20 %: </w:t>
      </w:r>
      <w:r>
        <w:rPr>
          <w:rFonts w:ascii="Calibri" w:cs="Calibri" w:eastAsia="Calibri" w:hAnsi="Calibri"/>
          <w:color w:val="000000"/>
          <w:sz w:val="20"/>
          <w:szCs w:val="20"/>
        </w:rPr>
        <w:t xml:space="preserve">20 clínicas × 4,0 UF × 20 % = 16,0 UF/mes con adopción completa.</w:t>
      </w:r>
    </w:p>
    <w:p>
      <w:pPr>
        <w:pStyle w:val="ListParagraph"/>
        <w:numPr>
          <w:ilvl w:val="0"/>
          <w:numId w:val="2"/>
        </w:numPr>
        <w:spacing w:after="70" w:line="270"/>
      </w:pPr>
      <w:r>
        <w:rPr>
          <w:rFonts w:ascii="Calibri" w:cs="Calibri" w:eastAsia="Calibri" w:hAnsi="Calibri"/>
          <w:b/>
          <w:bCs/>
          <w:color w:val="000000"/>
          <w:sz w:val="20"/>
          <w:szCs w:val="20"/>
        </w:rPr>
        <w:t xml:space="preserve">Reducción del TTR de 15 %: </w:t>
      </w:r>
      <w:r>
        <w:rPr>
          <w:rFonts w:ascii="Calibri" w:cs="Calibri" w:eastAsia="Calibri" w:hAnsi="Calibri"/>
          <w:color w:val="000000"/>
          <w:sz w:val="20"/>
          <w:szCs w:val="20"/>
        </w:rPr>
        <w:t xml:space="preserve">80 HH × 15 % × 0,14 UF/HH = 1,68 UF/mes en tiempo de soporte liberado.</w:t>
      </w:r>
    </w:p>
    <w:p>
      <w:pPr>
        <w:pStyle w:val="Heading2"/>
        <w:spacing w:after="120" w:before="240"/>
      </w:pPr>
      <w:r>
        <w:rPr>
          <w:rFonts w:ascii="Calibri" w:cs="Calibri" w:eastAsia="Calibri" w:hAnsi="Calibri"/>
          <w:b/>
          <w:bCs/>
          <w:color w:val="000000"/>
          <w:sz w:val="26"/>
          <w:szCs w:val="26"/>
        </w:rPr>
        <w:t xml:space="preserve">5.4 Flujo de caja del escenario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Período</w:t>
            </w:r>
          </w:p>
        </w:tc>
        <w:tc>
          <w:tcPr>
            <w:tcW w:type="dxa" w:w="1872"/>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Beneficios (UF)</w:t>
            </w:r>
          </w:p>
        </w:tc>
        <w:tc>
          <w:tcPr>
            <w:tcW w:type="dxa" w:w="1872"/>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Costos (UF)</w:t>
            </w:r>
          </w:p>
        </w:tc>
        <w:tc>
          <w:tcPr>
            <w:tcW w:type="dxa" w:w="1872"/>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Flujo neto (UF)</w:t>
            </w:r>
          </w:p>
        </w:tc>
        <w:tc>
          <w:tcPr>
            <w:tcW w:type="dxa" w:w="1872"/>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Acumulado (UF)</w:t>
            </w:r>
          </w:p>
        </w:tc>
      </w:tr>
      <w:tr>
        <w:trPr>
          <w:cantSplit/>
          <w:tblHeader w:val="false"/>
        </w:trPr>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Año 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0,00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112,00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-112,00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-112,00</w:t>
            </w:r>
          </w:p>
        </w:tc>
      </w:tr>
      <w:tr>
        <w:trPr>
          <w:cantSplit/>
          <w:tblHeader w:val="false"/>
        </w:trPr>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Año 1</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87,12</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46,80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40,32</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-71,68</w:t>
            </w:r>
          </w:p>
        </w:tc>
      </w:tr>
      <w:tr>
        <w:trPr>
          <w:cantSplit/>
          <w:tblHeader w:val="false"/>
        </w:trPr>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Año 2</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212,16</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46,80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165,36</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93,68</w:t>
            </w:r>
          </w:p>
        </w:tc>
      </w:tr>
      <w:tr>
        <w:trPr>
          <w:cantSplit/>
          <w:tblHeader w:val="false"/>
        </w:trPr>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Año 3</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212,16</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46,80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165,36</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259,04</w:t>
            </w:r>
          </w:p>
        </w:tc>
      </w:tr>
    </w:tbl>
    <w:p>
      <w:pPr>
        <w:spacing w:after="120" w:before="80"/>
        <w:jc w:val="both"/>
      </w:pPr>
      <w:r>
        <w:rPr>
          <w:rFonts w:ascii="Calibri" w:cs="Calibri" w:eastAsia="Calibri" w:hAnsi="Calibri"/>
          <w:color w:val="000000"/>
          <w:sz w:val="20"/>
          <w:szCs w:val="20"/>
        </w:rPr>
        <w:t xml:space="preserve">Los indicadores de la sección siguiente se calculan con flujos mensuales descontados; la tabla anual se presenta como resumen.</w:t>
      </w:r>
    </w:p>
    <w:p>
      <w:pPr>
        <w:pStyle w:val="Heading2"/>
        <w:spacing w:after="120" w:before="240"/>
      </w:pPr>
      <w:r>
        <w:rPr>
          <w:rFonts w:ascii="Calibri" w:cs="Calibri" w:eastAsia="Calibri" w:hAnsi="Calibri"/>
          <w:b/>
          <w:bCs/>
          <w:color w:val="000000"/>
          <w:sz w:val="26"/>
          <w:szCs w:val="26"/>
        </w:rPr>
        <w:t xml:space="preserve">5.5 Indicadores financieros (escenario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blHeader/>
        </w:trPr>
        <w:tc>
          <w:tcPr>
            <w:tcW w:type="dxa" w:w="28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Indicador</w:t>
            </w:r>
          </w:p>
        </w:tc>
        <w:tc>
          <w:tcPr>
            <w:tcW w:type="dxa" w:w="22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Resultado</w:t>
            </w:r>
          </w:p>
        </w:tc>
        <w:tc>
          <w:tcPr>
            <w:tcW w:type="dxa" w:w="43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Lectura</w:t>
            </w:r>
          </w:p>
        </w:tc>
      </w:tr>
      <w:tr>
        <w:trPr>
          <w:cantSplit/>
          <w:tblHeader w:val="false"/>
        </w:trPr>
        <w:tc>
          <w:tcPr>
            <w:tcW w:type="dxa" w:w="28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VAN (12 % anual, 36 meses)</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187,7 UF</w:t>
            </w:r>
          </w:p>
        </w:tc>
        <w:tc>
          <w:tcPr>
            <w:tcW w:type="dxa" w:w="4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Positivo: el proyecto crea valor</w:t>
            </w:r>
          </w:p>
        </w:tc>
      </w:tr>
      <w:tr>
        <w:trPr>
          <w:cantSplit/>
          <w:tblHeader w:val="false"/>
        </w:trPr>
        <w:tc>
          <w:tcPr>
            <w:tcW w:type="dxa" w:w="28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TIR anual</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 97 %</w:t>
            </w:r>
          </w:p>
        </w:tc>
        <w:tc>
          <w:tcPr>
            <w:tcW w:type="dxa" w:w="4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Muy superior a la tasa de descuento</w:t>
            </w:r>
          </w:p>
        </w:tc>
      </w:tr>
      <w:tr>
        <w:trPr>
          <w:cantSplit/>
          <w:tblHeader w:val="false"/>
        </w:trPr>
        <w:tc>
          <w:tcPr>
            <w:tcW w:type="dxa" w:w="28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Payback</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 meses</w:t>
            </w:r>
          </w:p>
        </w:tc>
        <w:tc>
          <w:tcPr>
            <w:tcW w:type="dxa" w:w="4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 cumple la meta de 12 meses en este escenario</w:t>
            </w:r>
          </w:p>
        </w:tc>
      </w:tr>
      <w:tr>
        <w:trPr>
          <w:cantSplit/>
          <w:tblHeader w:val="false"/>
        </w:trPr>
        <w:tc>
          <w:tcPr>
            <w:tcW w:type="dxa" w:w="28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Relación B/C</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1,81</w:t>
            </w:r>
          </w:p>
        </w:tc>
        <w:tc>
          <w:tcPr>
            <w:tcW w:type="dxa" w:w="4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Supera el umbral de 1,35</w:t>
            </w:r>
          </w:p>
        </w:tc>
      </w:tr>
    </w:tbl>
    <w:p>
      <w:pPr>
        <w:spacing w:after="100"/>
      </w:pPr>
    </w:p>
    <w:p>
      <w:pPr>
        <w:pStyle w:val="Heading2"/>
        <w:spacing w:after="120" w:before="240"/>
      </w:pPr>
      <w:r>
        <w:rPr>
          <w:rFonts w:ascii="Calibri" w:cs="Calibri" w:eastAsia="Calibri" w:hAnsi="Calibri"/>
          <w:b/>
          <w:bCs/>
          <w:color w:val="000000"/>
          <w:sz w:val="26"/>
          <w:szCs w:val="26"/>
        </w:rPr>
        <w:t xml:space="preserve">5.6 Análisis de sensibilidad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cantSplit/>
          <w:tblHeader/>
        </w:trPr>
        <w:tc>
          <w:tcPr>
            <w:tcW w:type="dxa" w:w="24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Escenario</w:t>
            </w:r>
          </w:p>
        </w:tc>
        <w:tc>
          <w:tcPr>
            <w:tcW w:type="dxa" w:w="17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VAN (UF)</w:t>
            </w:r>
          </w:p>
        </w:tc>
        <w:tc>
          <w:tcPr>
            <w:tcW w:type="dxa" w:w="17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TIR anual</w:t>
            </w:r>
          </w:p>
        </w:tc>
        <w:tc>
          <w:tcPr>
            <w:tcW w:type="dxa" w:w="17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Payback</w:t>
            </w:r>
          </w:p>
        </w:tc>
        <w:tc>
          <w:tcPr>
            <w:tcW w:type="dxa" w:w="18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B/C</w:t>
            </w:r>
          </w:p>
        </w:tc>
      </w:tr>
      <w:tr>
        <w:trPr>
          <w:cantSplit/>
          <w:tblHeader w:val="false"/>
        </w:trPr>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Pesimista: 12 clínicas, prima 10 %</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-72,7</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Negativa</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 se recupera</w:t>
            </w:r>
          </w:p>
        </w:tc>
        <w:tc>
          <w:tcPr>
            <w:tcW w:type="dxa" w:w="18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0,68</w:t>
            </w:r>
          </w:p>
        </w:tc>
      </w:tr>
      <w:tr>
        <w:trPr>
          <w:cantSplit/>
          <w:tblHeader w:val="false"/>
        </w:trPr>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Base: 20 clínicas, prima 20 %</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187,7</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 97 %</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 meses</w:t>
            </w:r>
          </w:p>
        </w:tc>
        <w:tc>
          <w:tcPr>
            <w:tcW w:type="dxa" w:w="18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1,81</w:t>
            </w:r>
          </w:p>
        </w:tc>
      </w:tr>
      <w:tr>
        <w:trPr>
          <w:cantSplit/>
          <w:tblHeader w:val="false"/>
        </w:trPr>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Optimista: 30 clínicas, prima 20 %</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373,8</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 179 %</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14 meses</w:t>
            </w:r>
          </w:p>
        </w:tc>
        <w:tc>
          <w:tcPr>
            <w:tcW w:type="dxa" w:w="18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2,62</w:t>
            </w:r>
          </w:p>
        </w:tc>
      </w:tr>
    </w:tbl>
    <w:p>
      <w:pPr>
        <w:spacing w:after="100"/>
      </w:pPr>
    </w:p>
    <w:p>
      <w:pPr>
        <w:spacing w:after="120" w:line="276"/>
        <w:jc w:val="both"/>
      </w:pPr>
      <w:r>
        <w:rPr>
          <w:rFonts w:ascii="Calibri" w:cs="Calibri" w:eastAsia="Calibri" w:hAnsi="Calibri"/>
          <w:b/>
          <w:bCs/>
          <w:color w:val="000000"/>
          <w:sz w:val="20"/>
          <w:szCs w:val="20"/>
        </w:rPr>
        <w:t xml:space="preserve">Punto de equilibrio: </w:t>
      </w:r>
      <w:r>
        <w:rPr>
          <w:rFonts w:ascii="Calibri" w:cs="Calibri" w:eastAsia="Calibri" w:hAnsi="Calibri"/>
          <w:color w:val="000000"/>
          <w:sz w:val="20"/>
          <w:szCs w:val="20"/>
        </w:rPr>
        <w:t xml:space="preserve">con la prima de 20 %, el VAN se vuelve positivo desde aproximadamente 10 clínicas suscritas. La relación B/C supera 1,35 desde unas 14 clínicas, y el payback menor a 12 meses requiere una base cercana a 40 clínicas.</w:t>
      </w:r>
    </w:p>
    <w:p>
      <w:pPr>
        <w:pStyle w:val="Heading2"/>
        <w:spacing w:after="120" w:before="240"/>
      </w:pPr>
      <w:r>
        <w:rPr>
          <w:rFonts w:ascii="Calibri" w:cs="Calibri" w:eastAsia="Calibri" w:hAnsi="Calibri"/>
          <w:b/>
          <w:bCs/>
          <w:color w:val="000000"/>
          <w:sz w:val="26"/>
          <w:szCs w:val="26"/>
        </w:rPr>
        <w:t xml:space="preserve">5.7 Dictamen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120"/>
              <w:left w:type="dxa" w:w="160"/>
              <w:bottom w:type="dxa" w:w="120"/>
              <w:right w:type="dxa" w:w="160"/>
            </w:tcMar>
          </w:tcPr>
          <w:p>
            <w:r>
              <w:rPr>
                <w:rFonts w:ascii="Calibri" w:cs="Calibri" w:eastAsia="Calibri" w:hAnsi="Calibri"/>
                <w:b/>
                <w:bCs/>
                <w:color w:val="000000"/>
                <w:sz w:val="20"/>
                <w:szCs w:val="20"/>
              </w:rPr>
              <w:t xml:space="preserve">Dictamen: GO condicionado. </w:t>
            </w:r>
            <w:r>
              <w:rPr>
                <w:rFonts w:ascii="Calibri" w:cs="Calibri" w:eastAsia="Calibri" w:hAnsi="Calibri"/>
                <w:color w:val="000000"/>
                <w:sz w:val="20"/>
                <w:szCs w:val="20"/>
              </w:rPr>
              <w:t xml:space="preserve">Se recomienda a Alloxentric SpA aprobar la puesta en producción de la arquitectura propuesta, condicionada a confirmar una base de al menos 14 clínicas suscritas en el Reino Unido dispuestas a pagar la prima de precio, de modo que la relación B/C supere 1,35. Con la base supuesta de 20 clínicas, el proyecto presenta VAN positivo y B/C de 1,81, aunque el payback de 18 meses excede la meta de 12 meses. Si la base comercial fuera inferior a 10 clínicas, el dictamen pasaría a NO-GO.</w:t>
            </w:r>
          </w:p>
        </w:tc>
      </w:tr>
    </w:tbl>
    <w:p>
      <w:r>
        <w:br w:type="page"/>
      </w:r>
    </w:p>
    <w:p>
      <w:pPr>
        <w:pStyle w:val="Heading1"/>
        <w:spacing w:after="160" w:before="320"/>
      </w:pPr>
      <w:r>
        <w:rPr>
          <w:rFonts w:ascii="Calibri" w:cs="Calibri" w:eastAsia="Calibri" w:hAnsi="Calibri"/>
          <w:b/>
          <w:bCs/>
          <w:color w:val="000000"/>
          <w:sz w:val="32"/>
          <w:szCs w:val="32"/>
        </w:rPr>
        <w:t xml:space="preserve">Capítulo III. Gestión del proyecto y control EVM</w:t>
      </w:r>
    </w:p>
    <w:p>
      <w:pPr>
        <w:pStyle w:val="Heading1"/>
        <w:spacing w:after="160" w:before="320"/>
      </w:pPr>
      <w:r>
        <w:rPr>
          <w:rFonts w:ascii="Calibri" w:cs="Calibri" w:eastAsia="Calibri" w:hAnsi="Calibri"/>
          <w:b/>
          <w:bCs/>
          <w:color w:val="000000"/>
          <w:sz w:val="32"/>
          <w:szCs w:val="32"/>
        </w:rPr>
        <w:t xml:space="preserve">6. Estado de avance y trazabilidad Corestream</w:t>
      </w:r>
    </w:p>
    <w:p>
      <w:pPr>
        <w:pStyle w:val="Heading2"/>
        <w:spacing w:after="120" w:before="240"/>
      </w:pPr>
      <w:r>
        <w:rPr>
          <w:rFonts w:ascii="Calibri" w:cs="Calibri" w:eastAsia="Calibri" w:hAnsi="Calibri"/>
          <w:b/>
          <w:bCs/>
          <w:color w:val="000000"/>
          <w:sz w:val="26"/>
          <w:szCs w:val="26"/>
        </w:rPr>
        <w:t xml:space="preserve">6.1 Indicadores EVM</w:t>
      </w:r>
    </w:p>
    <w:p>
      <w:pPr>
        <w:spacing w:after="120" w:line="276"/>
        <w:jc w:val="both"/>
      </w:pPr>
      <w:r>
        <w:rPr>
          <w:rFonts w:ascii="Calibri" w:cs="Calibri" w:eastAsia="Calibri" w:hAnsi="Calibri"/>
          <w:color w:val="000000"/>
          <w:sz w:val="20"/>
          <w:szCs w:val="20"/>
        </w:rPr>
        <w:t xml:space="preserve">La tabla presenta el corte formal del Avance N°1 (24 de septiembre de 2026), última medición consolidada. El BAC se calcula como 1.010 HH × 0,14 UF/HH.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cantSplit/>
          <w:tblHeader/>
        </w:trPr>
        <w:tc>
          <w:tcPr>
            <w:tcW w:type="dxa" w:w="26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Indicador</w:t>
            </w:r>
          </w:p>
        </w:tc>
        <w:tc>
          <w:tcPr>
            <w:tcW w:type="dxa" w:w="20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Valor</w:t>
            </w:r>
          </w:p>
        </w:tc>
        <w:tc>
          <w:tcPr>
            <w:tcW w:type="dxa" w:w="47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Interpretación</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BAC</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141,40 UF</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Presupuesto total del proyecto</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PV</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35,35 UF (25,0 %)</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Valor planificado al corte</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EV</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33,23 UF (23,5 %)</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Valor ganado al corte</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AC</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35,35 UF</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Costo real al corte</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SV</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-2,12 UF (-1,50 puntos)</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Leve atraso respecto al plan</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CV</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-2,12 UF</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Leve sobrecosto respecto al valor ganado</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SPI</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0,94</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Avance al 94 % del ritmo planificado</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CPI</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0,94</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 obtienen 0,94 UF de valor por cada UF gastada</w:t>
            </w:r>
          </w:p>
        </w:tc>
      </w:tr>
    </w:tbl>
    <w:p>
      <w:pPr>
        <w:spacing w:after="100"/>
      </w:pPr>
    </w:p>
    <w:p>
      <w:pPr>
        <w:spacing w:after="120" w:line="276"/>
        <w:jc w:val="both"/>
      </w:pPr>
      <w:r>
        <w:rPr>
          <w:rFonts w:ascii="Calibri" w:cs="Calibri" w:eastAsia="Calibri" w:hAnsi="Calibri"/>
          <w:color w:val="000000"/>
          <w:sz w:val="20"/>
          <w:szCs w:val="20"/>
        </w:rPr>
        <w:t xml:space="preserve">El desvío se explica por la reconstrucción del entorno técnico (repositorio, base de datos y credenciales propios) antes de iniciar el desarrollo. Como acciones correctivas, el despliegue en Vercel y Cloud Run se adelantó al 7 de octubre y se incorporaron nuevas recomendaciones del cliente. La actualización de los indicadores al corte del Avance N°2 se realizará con las horas reales registradas.</w:t>
      </w:r>
    </w:p>
    <w:p>
      <w:pPr>
        <w:pStyle w:val="Heading2"/>
        <w:spacing w:after="120" w:before="240"/>
      </w:pPr>
      <w:r>
        <w:rPr>
          <w:rFonts w:ascii="Calibri" w:cs="Calibri" w:eastAsia="Calibri" w:hAnsi="Calibri"/>
          <w:b/>
          <w:bCs/>
          <w:color w:val="000000"/>
          <w:sz w:val="26"/>
          <w:szCs w:val="26"/>
        </w:rPr>
        <w:t xml:space="preserve">6.2 Trazabilidad Corestream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cantSplit/>
          <w:tblHeader/>
        </w:trPr>
        <w:tc>
          <w:tcPr>
            <w:tcW w:type="dxa" w:w="17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Ticket</w:t>
            </w:r>
          </w:p>
        </w:tc>
        <w:tc>
          <w:tcPr>
            <w:tcW w:type="dxa" w:w="44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Actividad</w:t>
            </w:r>
          </w:p>
        </w:tc>
        <w:tc>
          <w:tcPr>
            <w:tcW w:type="dxa" w:w="32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Estado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UWAS_12-01</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Conexión de FastAPI con la base Neon</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Completado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UWAS_12-02</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Recomendación #6: proyector de costos de infraestructura</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Completado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UWAS_12-03</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Recomendación #9: auditor de calidad de notas SOAP</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Completado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UWAS_12-04</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Recomendación #22: chequeo de salud de la base de datos</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Completado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UWAS_12-05</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Dockerización integral</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En curso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UWAS_12-06</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Batería de pruebas unitarias del MVP</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En curso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UWAS_12-07</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Recomendación #8: mapa de calor de retención</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Completado</w:t>
            </w:r>
          </w:p>
        </w:tc>
      </w:tr>
    </w:tbl>
    <w:p>
      <w:pPr>
        <w:spacing w:after="100"/>
      </w:pPr>
    </w:p>
    <w:p>
      <w:pPr>
        <w:spacing w:after="120" w:line="276"/>
        <w:jc w:val="both"/>
      </w:pPr>
      <w:r>
        <w:rPr>
          <w:rFonts w:ascii="Calibri" w:cs="Calibri" w:eastAsia="Calibri" w:hAnsi="Calibri"/>
          <w:color w:val="000000"/>
          <w:sz w:val="20"/>
          <w:szCs w:val="20"/>
        </w:rPr>
        <w:t xml:space="preserve">Las recomendaciones #10, #15 y #16 están implementadas en el repositorio y su registro en Corestream se encuentra en regularización.</w:t>
      </w:r>
    </w:p>
    <w:p>
      <w:pPr>
        <w:pStyle w:val="Heading1"/>
        <w:spacing w:after="160" w:before="320"/>
      </w:pPr>
      <w:r>
        <w:rPr>
          <w:rFonts w:ascii="Calibri" w:cs="Calibri" w:eastAsia="Calibri" w:hAnsi="Calibri"/>
          <w:b/>
          <w:bCs/>
          <w:color w:val="000000"/>
          <w:sz w:val="32"/>
          <w:szCs w:val="32"/>
        </w:rPr>
        <w:t xml:space="preserve">7. Conclusiones</w:t>
      </w:r>
    </w:p>
    <w:p>
      <w:pPr>
        <w:pStyle w:val="ListParagraph"/>
        <w:numPr>
          <w:ilvl w:val="0"/>
          <w:numId w:val="2"/>
        </w:numPr>
        <w:spacing w:after="70" w:line="270"/>
      </w:pPr>
      <w:r>
        <w:rPr>
          <w:rFonts w:ascii="Calibri" w:cs="Calibri" w:eastAsia="Calibri" w:hAnsi="Calibri"/>
          <w:color w:val="000000"/>
          <w:sz w:val="20"/>
          <w:szCs w:val="20"/>
        </w:rPr>
        <w:t xml:space="preserve">WellQ Admin Site cuenta con un MVP operativo y desplegado, que implementa siete recomendaciones del cliente sobre una arquitectura de tres contenedores.</w:t>
      </w:r>
    </w:p>
    <w:p>
      <w:pPr>
        <w:pStyle w:val="ListParagraph"/>
        <w:numPr>
          <w:ilvl w:val="0"/>
          <w:numId w:val="2"/>
        </w:numPr>
        <w:spacing w:after="70" w:line="270"/>
      </w:pPr>
      <w:r>
        <w:rPr>
          <w:rFonts w:ascii="Calibri" w:cs="Calibri" w:eastAsia="Calibri" w:hAnsi="Calibri"/>
          <w:color w:val="000000"/>
          <w:sz w:val="20"/>
          <w:szCs w:val="20"/>
        </w:rPr>
        <w:t xml:space="preserve">El incidente de cátedra mostró que una base y un pool compartidos no garantizan latencia ni aislamiento. La arquitectura corregida separa el tiempo real del batch y protege la ingesta de datos clínicos.</w:t>
      </w:r>
    </w:p>
    <w:p>
      <w:pPr>
        <w:pStyle w:val="ListParagraph"/>
        <w:numPr>
          <w:ilvl w:val="0"/>
          <w:numId w:val="2"/>
        </w:numPr>
        <w:spacing w:after="70" w:line="270"/>
      </w:pPr>
      <w:r>
        <w:rPr>
          <w:rFonts w:ascii="Calibri" w:cs="Calibri" w:eastAsia="Calibri" w:hAnsi="Calibri"/>
          <w:color w:val="000000"/>
          <w:sz w:val="20"/>
          <w:szCs w:val="20"/>
        </w:rPr>
        <w:t xml:space="preserve">La evaluación económica es favorable en el escenario base, pero depende de la base comercial. Por eso el dictamen es GO condicionado a validar el número de clínicas y la prima de precio.</w:t>
      </w:r>
    </w:p>
    <w:p>
      <w:pPr>
        <w:pStyle w:val="ListParagraph"/>
        <w:numPr>
          <w:ilvl w:val="0"/>
          <w:numId w:val="2"/>
        </w:numPr>
        <w:spacing w:after="70" w:line="270"/>
      </w:pPr>
      <w:r>
        <w:rPr>
          <w:rFonts w:ascii="Calibri" w:cs="Calibri" w:eastAsia="Calibri" w:hAnsi="Calibri"/>
          <w:color w:val="000000"/>
          <w:sz w:val="20"/>
          <w:szCs w:val="20"/>
        </w:rPr>
        <w:t xml:space="preserve">Los próximos pasos son validar los supuestos comerciales con Alloxentric, cerrar dockerización y pruebas, y medir la latencia con pruebas de carga.</w:t>
      </w:r>
    </w:p>
    <w:p>
      <w:r>
        <w:br w:type="page"/>
      </w:r>
    </w:p>
    <w:p>
      <w:pPr>
        <w:pStyle w:val="Heading1"/>
        <w:spacing w:after="160" w:before="320"/>
      </w:pPr>
      <w:r>
        <w:rPr>
          <w:rFonts w:ascii="Calibri" w:cs="Calibri" w:eastAsia="Calibri" w:hAnsi="Calibri"/>
          <w:b/>
          <w:bCs/>
          <w:color w:val="000000"/>
          <w:sz w:val="32"/>
          <w:szCs w:val="32"/>
        </w:rPr>
        <w:t xml:space="preserve">Anexo A. Equipo y matriz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cantSplit/>
          <w:tblHeader/>
        </w:trPr>
        <w:tc>
          <w:tcPr>
            <w:tcW w:type="dxa" w:w="26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Integrante</w:t>
            </w:r>
          </w:p>
        </w:tc>
        <w:tc>
          <w:tcPr>
            <w:tcW w:type="dxa" w:w="34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Rol en el proyecto</w:t>
            </w:r>
          </w:p>
        </w:tc>
        <w:tc>
          <w:tcPr>
            <w:tcW w:type="dxa" w:w="33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Rol RACI general</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Cristóbal Faúndez</w:t>
            </w:r>
          </w:p>
        </w:tc>
        <w:tc>
          <w:tcPr>
            <w:tcW w:type="dxa" w:w="3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Líder de proyecto y Fullstack Lead</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Accountable</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Agustín Zúñiga</w:t>
            </w:r>
          </w:p>
        </w:tc>
        <w:tc>
          <w:tcPr>
            <w:tcW w:type="dxa" w:w="3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QA, documentación y EVM</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Responsible</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Bastián González</w:t>
            </w:r>
          </w:p>
        </w:tc>
        <w:tc>
          <w:tcPr>
            <w:tcW w:type="dxa" w:w="3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Frontend Lead</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Consulted</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Favio Muñoz</w:t>
            </w:r>
          </w:p>
        </w:tc>
        <w:tc>
          <w:tcPr>
            <w:tcW w:type="dxa" w:w="3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Backend e integración de datos</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Informed</w:t>
            </w:r>
          </w:p>
        </w:tc>
      </w:tr>
    </w:tbl>
    <w:p>
      <w:pPr>
        <w:spacing w:after="100"/>
      </w:pPr>
    </w:p>
    <w:p>
      <w:pPr>
        <w:spacing w:after="120" w:line="276"/>
        <w:jc w:val="both"/>
      </w:pPr>
      <w:r>
        <w:rPr>
          <w:rFonts w:ascii="Calibri" w:cs="Calibri" w:eastAsia="Calibri" w:hAnsi="Calibri"/>
          <w:color w:val="000000"/>
          <w:sz w:val="20"/>
          <w:szCs w:val="20"/>
        </w:rPr>
        <w:t xml:space="preserve">Asignación por entregable (R: responsable, A: aprueba, C: consultado, I: informado):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cantSplit/>
          <w:tblHeader/>
        </w:trPr>
        <w:tc>
          <w:tcPr>
            <w:tcW w:type="dxa" w:w="33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Entregable</w:t>
            </w:r>
          </w:p>
        </w:tc>
        <w:tc>
          <w:tcPr>
            <w:tcW w:type="dxa" w:w="1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C. Faúndez</w:t>
            </w:r>
          </w:p>
        </w:tc>
        <w:tc>
          <w:tcPr>
            <w:tcW w:type="dxa" w:w="1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A. Zúñiga</w:t>
            </w:r>
          </w:p>
        </w:tc>
        <w:tc>
          <w:tcPr>
            <w:tcW w:type="dxa" w:w="1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B. González</w:t>
            </w:r>
          </w:p>
        </w:tc>
        <w:tc>
          <w:tcPr>
            <w:tcW w:type="dxa" w:w="1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F. Muñoz</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Diagramas C4</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 / 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Pipeline MLOps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 / 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Resolución del incidente</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 / 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Evaluación económica (ERV)</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Control EVM y Corestream</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Presentación</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r>
    </w:tbl>
    <w:p>
      <w:pPr>
        <w:pStyle w:val="Heading1"/>
        <w:spacing w:after="160" w:before="320"/>
      </w:pPr>
      <w:r>
        <w:rPr>
          <w:rFonts w:ascii="Calibri" w:cs="Calibri" w:eastAsia="Calibri" w:hAnsi="Calibri"/>
          <w:b/>
          <w:bCs/>
          <w:color w:val="000000"/>
          <w:sz w:val="32"/>
          <w:szCs w:val="32"/>
        </w:rPr>
        <w:t xml:space="preserve">Anexo B. Enlaces del proyecto</w:t>
      </w:r>
    </w:p>
    <w:p>
      <w:pPr>
        <w:pStyle w:val="ListParagraph"/>
        <w:numPr>
          <w:ilvl w:val="0"/>
          <w:numId w:val="2"/>
        </w:numPr>
        <w:spacing w:after="70" w:line="270"/>
      </w:pPr>
      <w:r>
        <w:rPr>
          <w:rFonts w:ascii="Calibri" w:cs="Calibri" w:eastAsia="Calibri" w:hAnsi="Calibri"/>
          <w:b/>
          <w:bCs/>
          <w:color w:val="000000"/>
          <w:sz w:val="20"/>
          <w:szCs w:val="20"/>
        </w:rPr>
        <w:t xml:space="preserve">Carpeta Drive: </w:t>
      </w:r>
      <w:r>
        <w:rPr>
          <w:rFonts w:ascii="Calibri" w:cs="Calibri" w:eastAsia="Calibri" w:hAnsi="Calibri"/>
          <w:color w:val="000000"/>
          <w:sz w:val="20"/>
          <w:szCs w:val="20"/>
        </w:rPr>
        <w:t xml:space="preserve">https://drive.google.com/drive/folders/1fVN1yfBFDXt_An_ZTyzueJ9zhAbmBaEd?usp=drive_link (ruta /GPI-Taller Arquitectura/)</w:t>
      </w:r>
    </w:p>
    <w:p>
      <w:pPr>
        <w:pStyle w:val="ListParagraph"/>
        <w:numPr>
          <w:ilvl w:val="0"/>
          <w:numId w:val="2"/>
        </w:numPr>
        <w:spacing w:after="70" w:line="270"/>
      </w:pPr>
      <w:r>
        <w:rPr>
          <w:rFonts w:ascii="Calibri" w:cs="Calibri" w:eastAsia="Calibri" w:hAnsi="Calibri"/>
          <w:b/>
          <w:bCs/>
          <w:color w:val="000000"/>
          <w:sz w:val="20"/>
          <w:szCs w:val="20"/>
        </w:rPr>
        <w:t xml:space="preserve">Repositorio: </w:t>
      </w:r>
      <w:r>
        <w:rPr>
          <w:rFonts w:ascii="Calibri" w:cs="Calibri" w:eastAsia="Calibri" w:hAnsi="Calibri"/>
          <w:color w:val="000000"/>
          <w:sz w:val="20"/>
          <w:szCs w:val="20"/>
        </w:rPr>
        <w:t xml:space="preserve">https://github.com/StayWithCris/wellq-admin-site (ruta /docs/erv/)</w:t>
      </w:r>
    </w:p>
    <w:p>
      <w:pPr>
        <w:pStyle w:val="ListParagraph"/>
        <w:numPr>
          <w:ilvl w:val="0"/>
          <w:numId w:val="2"/>
        </w:numPr>
        <w:spacing w:after="70" w:line="270"/>
      </w:pPr>
      <w:r>
        <w:rPr>
          <w:rFonts w:ascii="Calibri" w:cs="Calibri" w:eastAsia="Calibri" w:hAnsi="Calibri"/>
          <w:b/>
          <w:bCs/>
          <w:color w:val="000000"/>
          <w:sz w:val="20"/>
          <w:szCs w:val="20"/>
        </w:rPr>
        <w:t xml:space="preserve">Panel desplegado: </w:t>
      </w:r>
      <w:r>
        <w:rPr>
          <w:rFonts w:ascii="Calibri" w:cs="Calibri" w:eastAsia="Calibri" w:hAnsi="Calibri"/>
          <w:color w:val="000000"/>
          <w:sz w:val="20"/>
          <w:szCs w:val="20"/>
        </w:rPr>
        <w:t xml:space="preserve">https://wellq-admin-site.vercel.app</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6"/>
        <w:szCs w:val="16"/>
      </w:rPr>
      <w:t xml:space="preserve">Taller Arquitectura y ERV Parte 2 · UWAS_12 · Página </w:t>
    </w:r>
    <w:r>
      <w:rPr>
        <w:rFonts w:ascii="Calibri" w:cs="Calibri" w:eastAsia="Calibri" w:hAnsi="Calibri"/>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rPr>
        <w:color w:val="000000"/>
      </w:rPr>
    </w:lvl>
  </w:abstractNum>
  <w:abstractNum w:abstractNumId="3" w15:restartNumberingAfterBreak="0">
    <w:multiLevelType w:val="hybridMultilevel"/>
    <w:lvl w:ilvl="0" w15:tentative="1">
      <w:start w:val="1"/>
      <w:numFmt w:val="decimal"/>
      <w:lvlText w:val="%1."/>
      <w:lvlJc w:val="left"/>
      <w:pPr>
        <w:ind w:left="500" w:hanging="300"/>
      </w:pPr>
      <w:rPr>
        <w:color w:val="000000"/>
      </w:rPr>
    </w:lvl>
  </w:abstractNum>
  <w:abstractNum w:abstractNumId="4" w15:restartNumberingAfterBreak="0">
    <w:multiLevelType w:val="hybridMultilevel"/>
    <w:lvl w:ilvl="0" w15:tentative="1">
      <w:start w:val="1"/>
      <w:numFmt w:val="decimal"/>
      <w:lvlText w:val="%1."/>
      <w:lvlJc w:val="left"/>
      <w:pPr>
        <w:ind w:left="500" w:hanging="300"/>
      </w:pPr>
      <w:rPr>
        <w:color w:val="000000"/>
      </w:rPr>
    </w:lvl>
  </w:abstractNum>
  <w:abstractNum w:abstractNumId="5" w15:restartNumberingAfterBreak="0">
    <w:multiLevelType w:val="hybridMultilevel"/>
    <w:lvl w:ilvl="0" w15:tentative="1">
      <w:start w:val="1"/>
      <w:numFmt w:val="decimal"/>
      <w:lvlText w:val="%1."/>
      <w:lvlJc w:val="left"/>
      <w:pPr>
        <w:ind w:left="500" w:hanging="300"/>
      </w:pPr>
      <w:rPr>
        <w:color w:val="000000"/>
      </w:rPr>
    </w:lvl>
  </w:abstractNum>
  <w:abstractNum w:abstractNumId="6" w15:restartNumberingAfterBreak="0">
    <w:multiLevelType w:val="hybridMultilevel"/>
    <w:lvl w:ilvl="0" w15:tentative="1">
      <w:start w:val="1"/>
      <w:numFmt w:val="decimal"/>
      <w:lvlText w:val="%1."/>
      <w:lvlJc w:val="left"/>
      <w:pPr>
        <w:ind w:left="500" w:hanging="300"/>
      </w:pPr>
      <w:rPr>
        <w:color w:val="0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32"/>
      <w:szCs w:val="32"/>
    </w:rPr>
  </w:style>
  <w:style w:type="paragraph" w:styleId="Heading2">
    <w:name w:val="Heading 2"/>
    <w:basedOn w:val="Normal"/>
    <w:next w:val="Normal"/>
    <w:qFormat/>
    <w:pPr>
      <w:outlineLvl w:val="1"/>
    </w:pPr>
    <w:rPr>
      <w:rFonts w:ascii="Calibri" w:cs="Calibri" w:eastAsia="Calibri" w:hAnsi="Calibri"/>
      <w:b/>
      <w:bCs/>
      <w:color w:val="000000"/>
      <w:sz w:val="26"/>
      <w:szCs w:val="26"/>
    </w:rPr>
  </w:style>
  <w:style w:type="paragraph" w:styleId="Heading3">
    <w:name w:val="Heading 3"/>
    <w:basedOn w:val="Normal"/>
    <w:next w:val="Normal"/>
    <w:qFormat/>
    <w:pPr>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2026-10-23T02:37:05.402Z</dcterms:created>
  <dcterms:modified xsi:type="dcterms:W3CDTF">2026-10-23T02:37:05.402Z</dcterms:modified>
</cp:coreProperties>
</file>

<file path=docProps/custom.xml><?xml version="1.0" encoding="utf-8"?>
<Properties xmlns="http://schemas.openxmlformats.org/officeDocument/2006/custom-properties" xmlns:vt="http://schemas.openxmlformats.org/officeDocument/2006/docPropsVTypes"/>
</file>