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595959"/>
          <w:sz w:val="20"/>
          <w:szCs w:val="20"/>
        </w:rPr>
        <w:t xml:space="preserve">STAYKNIT (PTY) LTD</w:t>
      </w:r>
    </w:p>
    <w:p>
      <w:pPr>
        <w:spacing w:after="200"/>
      </w:pPr>
      <w:r>
        <w:rPr>
          <w:b/>
          <w:bCs/>
          <w:color w:val="1F1F1F"/>
          <w:sz w:val="40"/>
          <w:szCs w:val="40"/>
        </w:rPr>
        <w:t xml:space="preserve">Legal Pack Review — Findings &amp; Recommendations</w:t>
      </w:r>
    </w:p>
    <w:p>
      <w:pPr>
        <w:spacing w:after="40"/>
      </w:pPr>
      <w:r>
        <w:rPr>
          <w:i/>
          <w:iCs/>
          <w:color w:val="595959"/>
          <w:sz w:val="22"/>
          <w:szCs w:val="22"/>
        </w:rPr>
        <w:t xml:space="preserve">Internal review of the compiled Legal &amp; Compliance Pack, prior to sending to counsel</w:t>
      </w:r>
    </w:p>
    <w:p>
      <w:pPr>
        <w:pBdr>
          <w:bottom w:val="single" w:color="9C6B1E" w:sz="12" w:space="8"/>
        </w:pBdr>
        <w:spacing w:after="300"/>
      </w:pPr>
      <w:r>
        <w:rPr>
          <w:color w:val="595959"/>
          <w:sz w:val="20"/>
          <w:szCs w:val="20"/>
        </w:rPr>
        <w:t xml:space="preserve">Prepared 17 September 2026</w:t>
      </w:r>
    </w:p>
    <w:p>
      <w:pPr>
        <w:spacing w:after="160" w:line="300"/>
      </w:pPr>
      <w:r>
        <w:rPr>
          <w:b/>
          <w:bCs/>
          <w:sz w:val="21"/>
          <w:szCs w:val="21"/>
        </w:rPr>
        <w:t xml:space="preserve">Scope. </w:t>
      </w:r>
      <w:r>
        <w:rPr>
          <w:sz w:val="21"/>
          <w:szCs w:val="21"/>
        </w:rPr>
        <w:t xml:space="preserve">This memo cross-checks the compiled </w:t>
      </w:r>
      <w:r>
        <w:rPr>
          <w:i/>
          <w:iCs/>
          <w:sz w:val="21"/>
          <w:szCs w:val="21"/>
        </w:rPr>
        <w:t xml:space="preserve">StayKnit-Legal-Pack.docx</w:t>
      </w:r>
      <w:r>
        <w:rPr>
          <w:sz w:val="21"/>
          <w:szCs w:val="21"/>
        </w:rPr>
        <w:t xml:space="preserve"> against its seven source files — the business model brief, the POPIA data-and-privacy briefing, the instructions to counsel, the current in-app legal copy, the security &amp; safety framework, the pre-launch audit findings, and the operational security runbook — to catch places where they disagree with each other or with what the app actually does. Findings are grouped by urgency, not by which document they came from.</w:t>
      </w:r>
    </w:p>
    <w:p>
      <w:pPr>
        <w:pStyle w:val="Heading1"/>
        <w:pBdr>
          <w:bottom w:val="single" w:color="9C6B1E" w:sz="6" w:space="4"/>
        </w:pBdr>
        <w:spacing w:after="160" w:before="360"/>
      </w:pPr>
      <w:r>
        <w:rPr>
          <w:b/>
          <w:bCs/>
          <w:color w:val="1F1F1F"/>
          <w:sz w:val="27"/>
          <w:szCs w:val="27"/>
        </w:rPr>
        <w:t xml:space="preserve">1. Act on this now — it's an operational risk, not a drafting point</w:t>
      </w:r>
    </w:p>
    <w:p>
      <w:pPr>
        <w:pStyle w:val="Heading2"/>
        <w:spacing w:after="100" w:before="260"/>
      </w:pPr>
      <w:r>
        <w:rPr>
          <w:b/>
          <w:bCs/>
          <w:color w:val="9C6B1E"/>
          <w:sz w:val="23"/>
          <w:szCs w:val="23"/>
        </w:rPr>
        <w:t xml:space="preserve">1.1 Database backup coverage is effectively 6 hours</w:t>
      </w:r>
    </w:p>
    <w:p>
      <w:pPr>
        <w:spacing w:after="160" w:line="300"/>
      </w:pPr>
      <w:r>
        <w:rPr>
          <w:sz w:val="21"/>
          <w:szCs w:val="21"/>
        </w:rPr>
        <w:t xml:space="preserve">The operational runbook (confirmed against the live Neon project on 17 September 2026) shows the database is on Neon's </w:t>
      </w:r>
      <w:r>
        <w:rPr>
          <w:b/>
          <w:bCs/>
          <w:sz w:val="21"/>
          <w:szCs w:val="21"/>
        </w:rPr>
        <w:t xml:space="preserve">Free</w:t>
      </w:r>
      <w:r>
        <w:rPr>
          <w:sz w:val="21"/>
          <w:szCs w:val="21"/>
        </w:rPr>
        <w:t xml:space="preserve"> plan: a 6-hour point-in-time-restore window, and </w:t>
      </w:r>
      <w:r>
        <w:rPr>
          <w:sz w:val="21"/>
          <w:szCs w:val="21"/>
        </w:rPr>
        <w:t xml:space="preserve">no scheduled snapshots — the runbook records that creating a snapshot schedule via the API was rejected outright, since that feature isn't available on this plan.</w:t>
      </w:r>
    </w:p>
    <w:p>
      <w:pPr>
        <w:spacing w:after="160" w:line="300"/>
      </w:pPr>
      <w:r>
        <w:rPr>
          <w:color w:val="1F1F1F"/>
          <w:sz w:val="21"/>
          <w:szCs w:val="21"/>
        </w:rPr>
        <w:t xml:space="preserve">Practically: a bad migration, an accidental deletion, or data corruption noticed the next morning would not be recoverable. The Legal Pack itself understates this — Part 3, §9 lists a "confirmed backup / disaster-recovery statement from Neon" as one of several documentation gaps still "to formalise." The runbook shows it's no longer just a documentation gap: it's a confirmed, named launch risk with a concrete fix.</w:t>
      </w:r>
    </w:p>
    <w:p>
      <w:pPr>
        <w:spacing w:after="160" w:line="300"/>
      </w:pPr>
      <w:r>
        <w:rPr>
          <w:b/>
          <w:bCs/>
          <w:color w:val="1F1F1F"/>
          <w:sz w:val="21"/>
          <w:szCs w:val="21"/>
        </w:rPr>
        <w:t xml:space="preserve">Recommended fix (the runbook already spells this out): </w:t>
      </w:r>
      <w:r>
        <w:rPr>
          <w:color w:val="1F1F1F"/>
          <w:sz w:val="21"/>
          <w:szCs w:val="21"/>
        </w:rPr>
        <w:t xml:space="preserve"> upgrade the Neon project to the Launch plan (pay-as-you-go, no monthly minimum), turn on daily scheduled snapshots, and run one test restore before taking any live payments. While in there, mark the `main` branch protected and add an IP allow-list — both are currently off and both are inexpensive to close.</w:t>
      </w:r>
    </w:p>
    <w:p>
      <w:pPr>
        <w:pStyle w:val="Heading1"/>
        <w:pBdr>
          <w:bottom w:val="single" w:color="9C6B1E" w:sz="6" w:space="4"/>
        </w:pBdr>
        <w:spacing w:after="160" w:before="360"/>
      </w:pPr>
      <w:r>
        <w:rPr>
          <w:b/>
          <w:bCs/>
          <w:color w:val="1F1F1F"/>
          <w:sz w:val="27"/>
          <w:szCs w:val="27"/>
        </w:rPr>
        <w:t xml:space="preserve">2. Fix before the pack goes to counsel</w:t>
      </w:r>
    </w:p>
    <w:p>
      <w:pPr>
        <w:pStyle w:val="Heading2"/>
        <w:spacing w:after="100" w:before="260"/>
      </w:pPr>
      <w:r>
        <w:rPr>
          <w:b/>
          <w:bCs/>
          <w:color w:val="9C6B1E"/>
          <w:sz w:val="23"/>
          <w:szCs w:val="23"/>
        </w:rPr>
        <w:t xml:space="preserve">2.1 The compiled pack is a step behind its own source files</w:t>
      </w:r>
    </w:p>
    <w:p>
      <w:pPr>
        <w:spacing w:after="160" w:line="300"/>
      </w:pPr>
      <w:r>
        <w:rPr>
          <w:color w:val="1F1F1F"/>
          <w:sz w:val="21"/>
          <w:szCs w:val="21"/>
        </w:rPr>
        <w:t xml:space="preserve">Three places in the Legal Pack still reflect an earlier state of the product than the source documents it was built from:</w:t>
      </w:r>
    </w:p>
    <w:p>
      <w:pPr>
        <w:pStyle w:val="ListParagraph"/>
        <w:numPr>
          <w:ilvl w:val="0"/>
          <w:numId w:val="2"/>
        </w:numPr>
        <w:spacing w:after="100" w:line="290"/>
      </w:pPr>
      <w:r>
        <w:rPr>
          <w:b/>
          <w:bCs/>
          <w:color w:val="1F1F1F"/>
          <w:sz w:val="21"/>
          <w:szCs w:val="21"/>
        </w:rPr>
        <w:t xml:space="preserve">Database location — </w:t>
      </w:r>
      <w:r>
        <w:rPr>
          <w:color w:val="1F1F1F"/>
          <w:sz w:val="21"/>
          <w:szCs w:val="21"/>
        </w:rPr>
        <w:t xml:space="preserve">Part 2, §4 lists the region as "to confirm." The runbook has since confirmed it: AWS us-east-1 (Northern Virginia, USA). This isn't cosmetic — it turns the POPIA section 72 question from "likely outside South Africa" into "confirmed outside South Africa," which is a firmer basis for counsel's cross-border advice.</w:t>
      </w:r>
    </w:p>
    <w:p>
      <w:pPr>
        <w:pStyle w:val="ListParagraph"/>
        <w:numPr>
          <w:ilvl w:val="0"/>
          <w:numId w:val="2"/>
        </w:numPr>
        <w:spacing w:after="100" w:line="290"/>
      </w:pPr>
      <w:r>
        <w:rPr>
          <w:b/>
          <w:bCs/>
          <w:color w:val="1F1F1F"/>
          <w:sz w:val="21"/>
          <w:szCs w:val="21"/>
        </w:rPr>
        <w:t xml:space="preserve">Payment processor status — </w:t>
      </w:r>
      <w:r>
        <w:rPr>
          <w:color w:val="1F1F1F"/>
          <w:sz w:val="21"/>
          <w:szCs w:val="21"/>
        </w:rPr>
        <w:t xml:space="preserve">the same table marks Paystack as "(planned)". Part 1 of the same pack, and the audit findings, describe Paystack as fully live — server-side initialisation, signature-verified webhooks, and idempotent activation already processing real payments.</w:t>
      </w:r>
    </w:p>
    <w:p>
      <w:pPr>
        <w:pStyle w:val="ListParagraph"/>
        <w:numPr>
          <w:ilvl w:val="0"/>
          <w:numId w:val="2"/>
        </w:numPr>
        <w:spacing w:after="100" w:line="290"/>
      </w:pPr>
      <w:r>
        <w:rPr>
          <w:b/>
          <w:bCs/>
          <w:color w:val="1F1F1F"/>
          <w:sz w:val="21"/>
          <w:szCs w:val="21"/>
        </w:rPr>
        <w:t xml:space="preserve">Operational gaps — </w:t>
      </w:r>
      <w:r>
        <w:rPr>
          <w:color w:val="1F1F1F"/>
          <w:sz w:val="21"/>
          <w:szCs w:val="21"/>
        </w:rPr>
        <w:t xml:space="preserve">Part 3, §9 is headed "Gaps still to formalise" and lists items (breach response, backups, DSAR workflow, access reviews) as not yet documented. The standalone security framework doc and the runbook show these are now written up in detail — including the backup risk in §1 above. The runbook itself isn't included in the pack at all, despite being the actual procedure counsel needs to assess the POPIA section 22 (breach-notification) and DSAR questions raised in Part 4.</w:t>
      </w:r>
    </w:p>
    <w:p>
      <w:pPr>
        <w:spacing w:after="160" w:line="300"/>
      </w:pPr>
      <w:r>
        <w:rPr>
          <w:color w:val="1F1F1F"/>
          <w:sz w:val="21"/>
          <w:szCs w:val="21"/>
        </w:rPr>
        <w:t xml:space="preserve">Recommendation: regenerate the compiled docx from the current source files, and add the operational runbook as a new Part 6. Counsel will want its incident-response roles, timelines, and DSAR routing to answer the questions already being asked of them in Part 4B and 4C.</w:t>
      </w:r>
    </w:p>
    <w:p>
      <w:pPr>
        <w:pStyle w:val="Heading2"/>
        <w:spacing w:after="100" w:before="260"/>
      </w:pPr>
      <w:r>
        <w:rPr>
          <w:b/>
          <w:bCs/>
          <w:color w:val="9C6B1E"/>
          <w:sz w:val="23"/>
          <w:szCs w:val="23"/>
        </w:rPr>
        <w:t xml:space="preserve">2.2 The instructions-to-counsel letter still asks for a notice period that doesn't exist</w:t>
      </w:r>
    </w:p>
    <w:p>
      <w:pPr>
        <w:spacing w:after="160" w:line="300"/>
      </w:pPr>
      <w:r>
        <w:rPr>
          <w:sz w:val="21"/>
          <w:szCs w:val="21"/>
        </w:rPr>
        <w:t xml:space="preserve">In </w:t>
      </w:r>
      <w:r>
        <w:rPr>
          <w:i/>
          <w:iCs/>
          <w:sz w:val="21"/>
          <w:szCs w:val="21"/>
        </w:rPr>
        <w:t xml:space="preserve">03-instructions-to-counsel.md</w:t>
      </w:r>
      <w:r>
        <w:rPr>
          <w:sz w:val="21"/>
          <w:szCs w:val="21"/>
        </w:rPr>
        <w:t xml:space="preserve">, item A.1 still says the Terms should cover "cancellation with a one-month notice period, after which the account reverts to the free trial." Every other document — the business-model brief, the current in-app Terms copy, the audit findings, and the compiled pack's own Part 4 — describes cancellation as immediate and self-service: a host cancels any time from the Plan screen, keeps the access already paid for through to the term's end date, gets no refund, and there's no notice period at all.</w:t>
      </w:r>
    </w:p>
    <w:p>
      <w:pPr>
        <w:spacing w:after="160" w:line="300"/>
      </w:pPr>
      <w:r>
        <w:rPr>
          <w:color w:val="1F1F1F"/>
          <w:sz w:val="21"/>
          <w:szCs w:val="21"/>
        </w:rPr>
        <w:t xml:space="preserve">This line appears to be left over from an earlier version of the billing model and wasn't updated when the rest of the pack was aligned to "prepaid, no auto-renewal, cancel anytime." Remove it before the letter goes out, or counsel may draft a cancellation clause that doesn't match what the app does.</w:t>
      </w:r>
    </w:p>
    <w:p>
      <w:pPr>
        <w:pStyle w:val="Heading2"/>
        <w:spacing w:after="100" w:before="260"/>
      </w:pPr>
      <w:r>
        <w:rPr>
          <w:b/>
          <w:bCs/>
          <w:color w:val="9C6B1E"/>
          <w:sz w:val="23"/>
          <w:szCs w:val="23"/>
        </w:rPr>
        <w:t xml:space="preserve">2.3 Payment processor: please confirm Paystack, not Stripe</w:t>
      </w:r>
    </w:p>
    <w:p>
      <w:pPr>
        <w:spacing w:after="160" w:line="300"/>
      </w:pPr>
      <w:r>
        <w:rPr>
          <w:color w:val="1F1F1F"/>
          <w:sz w:val="21"/>
          <w:szCs w:val="21"/>
        </w:rPr>
        <w:t xml:space="preserve">Every document in this pack — the business model brief, the POPIA briefing, the security framework, the audit findings, and the current in-app Terms, Privacy Policy, and Cookie Policy — names Paystack as the sole payment processor, and the audit findings explicitly note "no Stripe anywhere in the shipped pack." That's worth a direct, final confirmation from you before this goes out, since a payment processor named incorrectly in a live Privacy Policy is inexpensive to fix now and awkward to fix once a data subject or auditor notices it.</w:t>
      </w:r>
    </w:p>
    <w:p>
      <w:pPr>
        <w:pStyle w:val="Heading1"/>
        <w:pBdr>
          <w:bottom w:val="single" w:color="9C6B1E" w:sz="6" w:space="4"/>
        </w:pBdr>
        <w:spacing w:after="160" w:before="360"/>
      </w:pPr>
      <w:r>
        <w:rPr>
          <w:b/>
          <w:bCs/>
          <w:color w:val="1F1F1F"/>
          <w:sz w:val="27"/>
          <w:szCs w:val="27"/>
        </w:rPr>
        <w:t xml:space="preserve">3. Live site copy that doesn't yet match live site behaviour</w:t>
      </w:r>
    </w:p>
    <w:p>
      <w:pPr>
        <w:pStyle w:val="Heading2"/>
        <w:spacing w:after="100" w:before="260"/>
      </w:pPr>
      <w:r>
        <w:rPr>
          <w:b/>
          <w:bCs/>
          <w:color w:val="9C6B1E"/>
          <w:sz w:val="23"/>
          <w:szCs w:val="23"/>
        </w:rPr>
        <w:t xml:space="preserve">3.1 Trial card capture</w:t>
      </w:r>
    </w:p>
    <w:p>
      <w:pPr>
        <w:spacing w:after="160" w:line="300"/>
      </w:pPr>
      <w:r>
        <w:rPr>
          <w:color w:val="1F1F1F"/>
          <w:sz w:val="21"/>
          <w:szCs w:val="21"/>
        </w:rPr>
        <w:t xml:space="preserve">Terms §5 and the Privacy Policy both currently state that the free trial requires card details, captured at signup, with no charge until a paid plan is confirmed. The audit findings confirm this is copy-only — the signup flow doesn't actually capture a card yet. That's a true statement of intent but a false one about what happens on the site today, which makes it worth fixing sooner than counsel's turnaround time: either pull the "card details required" line from the live copy until the flow is built, or prioritise building it.</w:t>
      </w:r>
    </w:p>
    <w:p>
      <w:pPr>
        <w:pStyle w:val="Heading2"/>
        <w:spacing w:after="100" w:before="260"/>
      </w:pPr>
      <w:r>
        <w:rPr>
          <w:b/>
          <w:bCs/>
          <w:color w:val="9C6B1E"/>
          <w:sz w:val="23"/>
          <w:szCs w:val="23"/>
        </w:rPr>
        <w:t xml:space="preserve">3.2 Cookie-consent gating — worth the same check</w:t>
      </w:r>
    </w:p>
    <w:p>
      <w:pPr>
        <w:spacing w:after="160" w:line="300"/>
      </w:pPr>
      <w:r>
        <w:rPr>
          <w:color w:val="1F1F1F"/>
          <w:sz w:val="21"/>
          <w:szCs w:val="21"/>
        </w:rPr>
        <w:t xml:space="preserve">The Cookie Policy states that non-essential analytics "runs only after you accept non-essential tracking in the cookie banner." The pack has already caught two instances of a claim describing behaviour the app didn't actually have yet (the 2FA claim, now fixed for real; the trial card-capture claim, above). Before relying on this description in front of counsel or a regulator, it's worth confirming the analytics call is actually wired to the banner's accept action rather than running by default.</w:t>
      </w:r>
    </w:p>
    <w:p>
      <w:pPr>
        <w:pStyle w:val="Heading1"/>
        <w:pBdr>
          <w:bottom w:val="single" w:color="9C6B1E" w:sz="6" w:space="4"/>
        </w:pBdr>
        <w:spacing w:after="160" w:before="360"/>
      </w:pPr>
      <w:r>
        <w:rPr>
          <w:b/>
          <w:bCs/>
          <w:color w:val="1F1F1F"/>
          <w:sz w:val="27"/>
          <w:szCs w:val="27"/>
        </w:rPr>
        <w:t xml:space="preserve">4. Clarity &amp; completeness for counsel</w:t>
      </w:r>
    </w:p>
    <w:p>
      <w:pPr>
        <w:pStyle w:val="ListParagraph"/>
        <w:numPr>
          <w:ilvl w:val="0"/>
          <w:numId w:val="2"/>
        </w:numPr>
        <w:spacing w:after="100" w:line="290"/>
      </w:pPr>
      <w:r>
        <w:rPr>
          <w:b/>
          <w:bCs/>
          <w:color w:val="1F1F1F"/>
          <w:sz w:val="21"/>
          <w:szCs w:val="21"/>
        </w:rPr>
        <w:t xml:space="preserve">Referral and founding-rate mechanics: </w:t>
      </w:r>
      <w:r>
        <w:rPr>
          <w:color w:val="1F1F1F"/>
          <w:sz w:val="21"/>
          <w:szCs w:val="21"/>
        </w:rPr>
        <w:t xml:space="preserve">the pack asks counsel to cover "referral credits (a free month for both sides)" and a "founding-member rate," but doesn't say how a free month is actually applied when plans are one-time, prepaid, fixed-term purchases rather than recurring subscriptions — an extended term, or a credit toward the next purchase? Spelling out the mechanism will help counsel draft language that matches reality rather than guessing.</w:t>
      </w:r>
    </w:p>
    <w:p>
      <w:pPr>
        <w:pStyle w:val="ListParagraph"/>
        <w:numPr>
          <w:ilvl w:val="0"/>
          <w:numId w:val="2"/>
        </w:numPr>
        <w:spacing w:after="100" w:line="290"/>
      </w:pPr>
      <w:r>
        <w:rPr>
          <w:b/>
          <w:bCs/>
          <w:color w:val="1F1F1F"/>
          <w:sz w:val="21"/>
          <w:szCs w:val="21"/>
        </w:rPr>
        <w:t xml:space="preserve">Retention wording, Terms vs. Privacy Policy: </w:t>
      </w:r>
      <w:r>
        <w:rPr>
          <w:color w:val="1F1F1F"/>
          <w:sz w:val="21"/>
          <w:szCs w:val="21"/>
        </w:rPr>
        <w:t xml:space="preserve">the Privacy Policy notes that some records (e.g. payment records) are kept longer than an active account, for tax purposes. The parallel passage in the Terms (§6) doesn't carry the same exception — it simply says data can be exported or deleted "at any time." Aligning the two wordings avoids a host reading the Terms as a broader deletion promise than the Privacy Policy actually makes.</w:t>
      </w:r>
    </w:p>
    <w:p>
      <w:pPr>
        <w:pStyle w:val="ListParagraph"/>
        <w:numPr>
          <w:ilvl w:val="0"/>
          <w:numId w:val="2"/>
        </w:numPr>
        <w:spacing w:after="100" w:line="290"/>
      </w:pPr>
      <w:r>
        <w:rPr>
          <w:b/>
          <w:bCs/>
          <w:color w:val="1F1F1F"/>
          <w:sz w:val="21"/>
          <w:szCs w:val="21"/>
        </w:rPr>
        <w:t xml:space="preserve">CIPC / SARS number: </w:t>
      </w:r>
      <w:r>
        <w:rPr>
          <w:color w:val="1F1F1F"/>
          <w:sz w:val="21"/>
          <w:szCs w:val="21"/>
        </w:rPr>
        <w:t xml:space="preserve">both source documents already flag, and the pack repeats, that the CIPC registration number and SARS taxpayer number are currently identical. Worth a last confirmation that this is correct and not a copy-paste artifact before it's repeated across binding legal documents.</w:t>
      </w:r>
    </w:p>
    <w:p>
      <w:pPr>
        <w:pStyle w:val="ListParagraph"/>
        <w:numPr>
          <w:ilvl w:val="0"/>
          <w:numId w:val="2"/>
        </w:numPr>
        <w:spacing w:after="100" w:line="290"/>
      </w:pPr>
      <w:r>
        <w:rPr>
          <w:b/>
          <w:bCs/>
          <w:color w:val="1F1F1F"/>
          <w:sz w:val="21"/>
          <w:szCs w:val="21"/>
        </w:rPr>
        <w:t xml:space="preserve">Google Fonts and EU exposure: </w:t>
      </w:r>
      <w:r>
        <w:rPr>
          <w:color w:val="1F1F1F"/>
          <w:sz w:val="21"/>
          <w:szCs w:val="21"/>
        </w:rPr>
        <w:t xml:space="preserve">pricing is configured in EUR and GBP as well as ZAR, which raises the odds of an EU-based host signing up. Loading fonts live from Google's CDN (as the Cookie Policy describes) has drawn adverse GDPR rulings in some EU jurisdictions, because it sends the visitor's IP address to Google before any consent is given. Self-hosting the font files removes this specific exposure; if that's not practical before launch, it's worth raising directly with counsel given the EU-currency support already signals intent to serve that market.</w:t>
      </w:r>
    </w:p>
    <w:p>
      <w:pPr>
        <w:pStyle w:val="Heading1"/>
        <w:pBdr>
          <w:bottom w:val="single" w:color="9C6B1E" w:sz="6" w:space="4"/>
        </w:pBdr>
        <w:spacing w:after="160" w:before="360"/>
      </w:pPr>
      <w:r>
        <w:rPr>
          <w:b/>
          <w:bCs/>
          <w:color w:val="1F1F1F"/>
          <w:sz w:val="27"/>
          <w:szCs w:val="27"/>
        </w:rPr>
        <w:t xml:space="preserve">5. Suggested order of operations</w:t>
      </w:r>
    </w:p>
    <w:p>
      <w:pPr>
        <w:pStyle w:val="ListParagraph"/>
        <w:numPr>
          <w:ilvl w:val="0"/>
          <w:numId w:val="2"/>
        </w:numPr>
        <w:spacing w:after="100" w:line="290"/>
      </w:pPr>
      <w:r>
        <w:rPr>
          <w:color w:val="1F1F1F"/>
          <w:sz w:val="21"/>
          <w:szCs w:val="21"/>
        </w:rPr>
        <w:t xml:space="preserve">Confirm Paystack vs. Stripe as the actual, current payment processor.</w:t>
      </w:r>
    </w:p>
    <w:p>
      <w:pPr>
        <w:pStyle w:val="ListParagraph"/>
        <w:numPr>
          <w:ilvl w:val="0"/>
          <w:numId w:val="2"/>
        </w:numPr>
        <w:spacing w:after="100" w:line="290"/>
      </w:pPr>
      <w:r>
        <w:rPr>
          <w:color w:val="1F1F1F"/>
          <w:sz w:val="21"/>
          <w:szCs w:val="21"/>
        </w:rPr>
        <w:t xml:space="preserve">Upgrade the Neon plan, turn on scheduled snapshots, and run a test restore.</w:t>
      </w:r>
    </w:p>
    <w:p>
      <w:pPr>
        <w:pStyle w:val="ListParagraph"/>
        <w:numPr>
          <w:ilvl w:val="0"/>
          <w:numId w:val="2"/>
        </w:numPr>
        <w:spacing w:after="100" w:line="290"/>
      </w:pPr>
      <w:r>
        <w:rPr>
          <w:color w:val="1F1F1F"/>
          <w:sz w:val="21"/>
          <w:szCs w:val="21"/>
        </w:rPr>
        <w:t xml:space="preserve">Fix or pull the trial-card-capture copy; confirm the cookie-banner gating is real.</w:t>
      </w:r>
    </w:p>
    <w:p>
      <w:pPr>
        <w:pStyle w:val="ListParagraph"/>
        <w:numPr>
          <w:ilvl w:val="0"/>
          <w:numId w:val="2"/>
        </w:numPr>
        <w:spacing w:after="100" w:line="290"/>
      </w:pPr>
      <w:r>
        <w:rPr>
          <w:color w:val="1F1F1F"/>
          <w:sz w:val="21"/>
          <w:szCs w:val="21"/>
        </w:rPr>
        <w:t xml:space="preserve">Regenerate the Legal Pack docx from the current source files and add the runbook as Part 6.</w:t>
      </w:r>
    </w:p>
    <w:p>
      <w:pPr>
        <w:pStyle w:val="ListParagraph"/>
        <w:numPr>
          <w:ilvl w:val="0"/>
          <w:numId w:val="2"/>
        </w:numPr>
        <w:spacing w:after="100" w:line="290"/>
      </w:pPr>
      <w:r>
        <w:rPr>
          <w:color w:val="1F1F1F"/>
          <w:sz w:val="21"/>
          <w:szCs w:val="21"/>
        </w:rPr>
        <w:t xml:space="preserve">Remove the stale "one-month notice" line from the instructions-to-counsel letter.</w:t>
      </w:r>
    </w:p>
    <w:p>
      <w:pPr>
        <w:pStyle w:val="ListParagraph"/>
        <w:numPr>
          <w:ilvl w:val="0"/>
          <w:numId w:val="2"/>
        </w:numPr>
        <w:spacing w:after="100" w:line="290"/>
      </w:pPr>
      <w:r>
        <w:rPr>
          <w:color w:val="1F1F1F"/>
          <w:sz w:val="21"/>
          <w:szCs w:val="21"/>
        </w:rPr>
        <w:t xml:space="preserve">Send the refreshed pack to counsel.</w:t>
      </w:r>
    </w:p>
    <w:p>
      <w:pPr>
        <w:pBdr>
          <w:top w:val="single" w:color="9C6B1E" w:sz="6" w:space="8"/>
        </w:pBdr>
        <w:spacing w:before="300"/>
      </w:pPr>
      <w:r>
        <w:rPr>
          <w:i/>
          <w:iCs/>
          <w:color w:val="595959"/>
          <w:sz w:val="18"/>
          <w:szCs w:val="18"/>
        </w:rPr>
        <w:t xml:space="preserve">Prepared as a working review, not legal advice — for the founder's own use in tightening the pack before it reaches counsel.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2026-09-17T11:29:49.871Z</dcterms:created>
  <dcterms:modified xsi:type="dcterms:W3CDTF">2026-09-17T11:29:49.880Z</dcterms:modified>
</cp:coreProperties>
</file>

<file path=docProps/custom.xml><?xml version="1.0" encoding="utf-8"?>
<Properties xmlns="http://schemas.openxmlformats.org/officeDocument/2006/custom-properties" xmlns:vt="http://schemas.openxmlformats.org/officeDocument/2006/docPropsVTypes"/>
</file>