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StayKnit — Legal Guidelines &amp; Compliance Requirements</w:t>
      </w:r>
    </w:p>
    <w:p>
      <w:pPr>
        <w:spacing w:after="300"/>
      </w:pPr>
      <w:r>
        <w:rPr>
          <w:i/>
          <w:iCs/>
          <w:color w:val="666666"/>
        </w:rPr>
        <w:t xml:space="preserve">Prepared as a reference overview — not legal advice. Last compiled September 2026.</w:t>
      </w:r>
    </w:p>
    <w:p>
      <w:pPr>
        <w:pStyle w:val="Heading1"/>
      </w:pPr>
      <w:r>
        <w:t xml:space="preserve">1. Scope of this document</w:t>
      </w:r>
    </w:p>
    <w:p>
      <w:pPr>
        <w:spacing w:after="240"/>
      </w:pPr>
      <w:r>
        <w:t xml:space="preserve">StayKnit (Pty) Ltd is a South African vacation-rental calendar-sync company connecting hosts' calendars across channels including Airbnb, Booking.com, and LekkerSlaap. Because guest and booking data moves between South Africa and other jurisdictions through these channel-partner integrations, more than one legal framework applies. This document summarizes the frameworks most likely to be relevant, at a level suitable for internal reference and for scoping a conversation with a South African attorney.</w:t>
      </w:r>
    </w:p>
    <w:p>
      <w:pPr>
        <w:pStyle w:val="Heading1"/>
      </w:pPr>
      <w:r>
        <w:t xml:space="preserve">2. POPIA — Protection of Personal Information Act 4 of 2013 (South Africa)</w:t>
      </w:r>
    </w:p>
    <w:p>
      <w:pPr>
        <w:spacing w:after="160"/>
      </w:pPr>
      <w:r>
        <w:t xml:space="preserve">POPIA is South Africa's primary data-protection statute, fully enforceable since 1 July 2021 and administered by the Information Regulator. It applies to any 'responsible party' domiciled in South Africa, or one that makes use of automated or non-automated means within the Republic. Unlike the GDPR, POPIA also protects juristic persons (companies), not only natural persons.</w:t>
      </w:r>
    </w:p>
    <w:p>
      <w:pPr>
        <w:pStyle w:val="Heading2"/>
      </w:pPr>
      <w:r>
        <w:t xml:space="preserve">2.1 Eight conditions for lawful processing</w:t>
      </w:r>
    </w:p>
    <w:p>
      <w:pPr>
        <w:pStyle w:val="ListParagraph"/>
        <w:numPr>
          <w:ilvl w:val="0"/>
          <w:numId w:val="2"/>
        </w:numPr>
      </w:pPr>
      <w:r>
        <w:t xml:space="preserve">Accountability — a responsible party must ensure these conditions are met.</w:t>
      </w:r>
    </w:p>
    <w:p>
      <w:pPr>
        <w:pStyle w:val="ListParagraph"/>
        <w:numPr>
          <w:ilvl w:val="0"/>
          <w:numId w:val="2"/>
        </w:numPr>
      </w:pPr>
      <w:r>
        <w:t xml:space="preserve">Processing limitation — process lawfully, minimally, and with the data subject's awareness or consent.</w:t>
      </w:r>
    </w:p>
    <w:p>
      <w:pPr>
        <w:pStyle w:val="ListParagraph"/>
        <w:numPr>
          <w:ilvl w:val="0"/>
          <w:numId w:val="2"/>
        </w:numPr>
      </w:pPr>
      <w:r>
        <w:t xml:space="preserve">Purpose specification — collect for a specific, defined, lawful purpose.</w:t>
      </w:r>
    </w:p>
    <w:p>
      <w:pPr>
        <w:pStyle w:val="ListParagraph"/>
        <w:numPr>
          <w:ilvl w:val="0"/>
          <w:numId w:val="2"/>
        </w:numPr>
      </w:pPr>
      <w:r>
        <w:t xml:space="preserve">Further processing limitation — further processing must be compatible with the original purpose.</w:t>
      </w:r>
    </w:p>
    <w:p>
      <w:pPr>
        <w:pStyle w:val="ListParagraph"/>
        <w:numPr>
          <w:ilvl w:val="0"/>
          <w:numId w:val="2"/>
        </w:numPr>
      </w:pPr>
      <w:r>
        <w:t xml:space="preserve">Information quality — keep personal information complete, accurate, and up to date.</w:t>
      </w:r>
    </w:p>
    <w:p>
      <w:pPr>
        <w:pStyle w:val="ListParagraph"/>
        <w:numPr>
          <w:ilvl w:val="0"/>
          <w:numId w:val="2"/>
        </w:numPr>
      </w:pPr>
      <w:r>
        <w:t xml:space="preserve">Openness — maintain documentation and notify data subjects of collection.</w:t>
      </w:r>
    </w:p>
    <w:p>
      <w:pPr>
        <w:pStyle w:val="ListParagraph"/>
        <w:numPr>
          <w:ilvl w:val="0"/>
          <w:numId w:val="2"/>
        </w:numPr>
      </w:pPr>
      <w:r>
        <w:t xml:space="preserve">Security safeguards — implement appropriate technical and organisational measures.</w:t>
      </w:r>
    </w:p>
    <w:p>
      <w:pPr>
        <w:pStyle w:val="ListParagraph"/>
        <w:numPr>
          <w:ilvl w:val="0"/>
          <w:numId w:val="2"/>
        </w:numPr>
      </w:pPr>
      <w:r>
        <w:t xml:space="preserve">Data subject participation — allow access, correction, and deletion requests.</w:t>
      </w:r>
    </w:p>
    <w:p>
      <w:pPr>
        <w:pStyle w:val="Heading2"/>
        <w:spacing w:before="200"/>
      </w:pPr>
      <w:r>
        <w:t xml:space="preserve">2.2 Information Officer</w:t>
      </w:r>
    </w:p>
    <w:p>
      <w:pPr>
        <w:spacing w:after="160"/>
      </w:pPr>
      <w:r>
        <w:t xml:space="preserve">Every responsible party has an Information Officer by operation of law (the head of the company, by default). The officer must be registered with the Information Regulator via its eServices portal before taking up duties. A PAIA manual has also been compulsory for every private body since 1 January 2022.</w:t>
      </w:r>
    </w:p>
    <w:p>
      <w:pPr>
        <w:pStyle w:val="Heading2"/>
      </w:pPr>
      <w:r>
        <w:t xml:space="preserve">2.3 Cross-border transfers (Section 72)</w:t>
      </w:r>
    </w:p>
    <w:p>
      <w:pPr>
        <w:spacing w:after="160"/>
      </w:pPr>
      <w:r>
        <w:t xml:space="preserve">Sending personal information to a recipient in a foreign country — including a channel-partner platform hosted abroad — is prohibited unless a gateway applies: an adequate-protection agreement (e.g. binding contractual clauses modeled on GDPR standard contractual clauses), the data subject's consent, or contractual necessity. South Africa publishes no official adequacy whitelist, so the adequacy assessment is a self-assessment that should be documented. This is the most relevant POPIA provision for a channel-manager business, given data flows to/from Airbnb, Booking.com, and other international partners.</w:t>
      </w:r>
    </w:p>
    <w:p>
      <w:pPr>
        <w:pStyle w:val="Heading2"/>
      </w:pPr>
      <w:r>
        <w:t xml:space="preserve">2.4 Security compromises (Section 22)</w:t>
      </w:r>
    </w:p>
    <w:p>
      <w:pPr>
        <w:spacing w:after="160"/>
      </w:pPr>
      <w:r>
        <w:t xml:space="preserve">Where there are reasonable grounds to believe personal information has been accessed or acquired by an unauthorised person, the responsible party must notify the Information Regulator and affected data subjects. Operators (processors) must notify the responsible party immediately upon suspicion of a compromise — this obligation should be written into vendor/operator contracts.</w:t>
      </w:r>
    </w:p>
    <w:p>
      <w:pPr>
        <w:pStyle w:val="Heading2"/>
      </w:pPr>
      <w:r>
        <w:t xml:space="preserve">2.5 Enforcement</w:t>
      </w:r>
    </w:p>
    <w:p>
      <w:pPr>
        <w:spacing w:after="300"/>
      </w:pPr>
      <w:r>
        <w:t xml:space="preserve">Administrative fines run up to R10 million per infringement, with some offences carrying up to 10 years' imprisonment. The Information Regulator has issued enforcement notices against government departments, retailers (Dis-Chem), a direct-marketing firm (FT Rams Consulting), and WhatsApp LLC (settled November 2025). Enforcement activity is described as intensifying through the 2026–2027 financial year.</w:t>
      </w:r>
    </w:p>
    <w:p>
      <w:pPr>
        <w:pStyle w:val="Heading1"/>
      </w:pPr>
      <w:r>
        <w:t xml:space="preserve">3. GDPR — General Data Protection Regulation (EU/UK guests)</w:t>
      </w:r>
    </w:p>
    <w:p>
      <w:pPr>
        <w:spacing w:after="120"/>
      </w:pPr>
      <w:r>
        <w:t xml:space="preserve">If bookings involve EU or UK travelers, the GDPR may separately apply to that guest data. Key points relevant to a channel-sync business:</w:t>
      </w:r>
    </w:p>
    <w:p>
      <w:pPr>
        <w:pStyle w:val="ListParagraph"/>
        <w:numPr>
          <w:ilvl w:val="0"/>
          <w:numId w:val="2"/>
        </w:numPr>
      </w:pPr>
      <w:r>
        <w:t xml:space="preserve">A lawful basis is required for processing (e.g. contract performance, legitimate interest, or consent).</w:t>
      </w:r>
    </w:p>
    <w:p>
      <w:pPr>
        <w:pStyle w:val="ListParagraph"/>
        <w:numPr>
          <w:ilvl w:val="0"/>
          <w:numId w:val="2"/>
        </w:numPr>
      </w:pPr>
      <w:r>
        <w:t xml:space="preserve">Data-subject rights apply: access, correction, erasure, portability, and objection.</w:t>
      </w:r>
    </w:p>
    <w:p>
      <w:pPr>
        <w:pStyle w:val="ListParagraph"/>
        <w:numPr>
          <w:ilvl w:val="0"/>
          <w:numId w:val="2"/>
        </w:numPr>
      </w:pPr>
      <w:r>
        <w:t xml:space="preserve">The EU has no adequacy decision for South Africa, so EU-to-South-Africa transfers need a separate GDPR Article 46 safeguard (typically standard contractual clauses).</w:t>
      </w:r>
    </w:p>
    <w:p>
      <w:pPr>
        <w:pStyle w:val="ListParagraph"/>
        <w:numPr>
          <w:ilvl w:val="0"/>
          <w:numId w:val="2"/>
        </w:numPr>
      </w:pPr>
      <w:r>
        <w:t xml:space="preserve">GDPR protects natural persons only — unlike POPIA, it does not cover corporate/juristic data.</w:t>
      </w:r>
    </w:p>
    <w:p>
      <w:pPr>
        <w:spacing w:after="300" w:before="160"/>
      </w:pPr>
      <w:r>
        <w:t xml:space="preserve">An existing GDPR compliance programme is a strong starting point for POPIA but does not substitute for it — the Information Officer registration, PAIA manual, juristic-person coverage, and Section 72/prior-authorisation triggers are POPIA-specific and have no direct GDPR equivalent.</w:t>
      </w:r>
    </w:p>
    <w:p>
      <w:pPr>
        <w:pStyle w:val="Heading1"/>
      </w:pPr>
      <w:r>
        <w:t xml:space="preserve">4. PCI-DSS considerations</w:t>
      </w:r>
    </w:p>
    <w:p>
      <w:pPr>
        <w:spacing w:after="300"/>
      </w:pPr>
      <w:r>
        <w:t xml:space="preserve">If any payment or card data is processed (e.g. host subscription billing, guest payments passed through the platform), PCI-DSS scope applies. Scope is significantly reduced if card data is fully delegated to a PCI-DSS-compliant payment processor and never touches StayKnit's own servers or logs in raw form.</w:t>
      </w:r>
    </w:p>
    <w:p>
      <w:pPr>
        <w:pStyle w:val="Heading1"/>
      </w:pPr>
      <w:r>
        <w:t xml:space="preserve">5. Channel-partner terms</w:t>
      </w:r>
    </w:p>
    <w:p>
      <w:pPr>
        <w:spacing w:after="300"/>
      </w:pPr>
      <w:r>
        <w:t xml:space="preserve">Each integrated channel (Airbnb, Booking.com, LekkerSlaap, etc.) carries its own API/partner agreement with independent data-handling and usage clauses, separate from statutory obligations. These should be reviewed alongside POPIA/GDPR compliance, not instead of it.</w:t>
      </w:r>
    </w:p>
    <w:p>
      <w:pPr>
        <w:pStyle w:val="Heading1"/>
      </w:pPr>
      <w:r>
        <w:t xml:space="preserve">6. Compliance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1800"/>
        <w:gridCol w:w="1600"/>
      </w:tblGrid>
      <w:tr>
        <w:tc>
          <w:tcPr>
            <w:tcW w:type="dxa" w:w="5600"/>
            <w:shd w:fill="2C3E3B" w:val="clear"/>
          </w:tcPr>
          <w:p>
            <w:r>
              <w:rPr>
                <w:b/>
                <w:bCs/>
                <w:color w:val="FFFFFF"/>
                <w:sz w:val="20"/>
                <w:szCs w:val="20"/>
              </w:rPr>
              <w:t xml:space="preserve">Item</w:t>
            </w:r>
          </w:p>
        </w:tc>
        <w:tc>
          <w:tcPr>
            <w:tcW w:type="dxa" w:w="1800"/>
            <w:shd w:fill="2C3E3B" w:val="clear"/>
          </w:tcPr>
          <w:p>
            <w:r>
              <w:rPr>
                <w:b/>
                <w:bCs/>
                <w:color w:val="FFFFFF"/>
                <w:sz w:val="20"/>
                <w:szCs w:val="20"/>
              </w:rPr>
              <w:t xml:space="preserve">Framework</w:t>
            </w:r>
          </w:p>
        </w:tc>
        <w:tc>
          <w:tcPr>
            <w:tcW w:type="dxa" w:w="1600"/>
            <w:shd w:fill="2C3E3B" w:val="clear"/>
          </w:tcPr>
          <w:p>
            <w:r>
              <w:rPr>
                <w:b/>
                <w:bCs/>
                <w:color w:val="FFFFFF"/>
                <w:sz w:val="20"/>
                <w:szCs w:val="20"/>
              </w:rPr>
              <w:t xml:space="preserve">Status</w:t>
            </w:r>
          </w:p>
        </w:tc>
      </w:tr>
      <w:tr>
        <w:tc>
          <w:tcPr>
            <w:tcW w:type="dxa" w:w="5600"/>
          </w:tcPr>
          <w:p>
            <w:r>
              <w:rPr>
                <w:b w:val="false"/>
                <w:bCs w:val="false"/>
                <w:color w:val="000000"/>
                <w:sz w:val="20"/>
                <w:szCs w:val="20"/>
              </w:rPr>
              <w:t xml:space="preserve">Registered Information Officer with the Information Regulator</w:t>
            </w:r>
          </w:p>
        </w:tc>
        <w:tc>
          <w:tcPr>
            <w:tcW w:type="dxa" w:w="1800"/>
          </w:tcPr>
          <w:p>
            <w:r>
              <w:rPr>
                <w:b w:val="false"/>
                <w:bCs w:val="false"/>
                <w:color w:val="000000"/>
                <w:sz w:val="20"/>
                <w:szCs w:val="20"/>
              </w:rPr>
              <w:t xml:space="preserve">POPIA</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PAIA manual adopted and published</w:t>
            </w:r>
          </w:p>
        </w:tc>
        <w:tc>
          <w:tcPr>
            <w:tcW w:type="dxa" w:w="1800"/>
          </w:tcPr>
          <w:p>
            <w:r>
              <w:rPr>
                <w:b w:val="false"/>
                <w:bCs w:val="false"/>
                <w:color w:val="000000"/>
                <w:sz w:val="20"/>
                <w:szCs w:val="20"/>
              </w:rPr>
              <w:t xml:space="preserve">POPIA</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Written operator/processor agreements with all vendors (hosting, payments, etc.)</w:t>
            </w:r>
          </w:p>
        </w:tc>
        <w:tc>
          <w:tcPr>
            <w:tcW w:type="dxa" w:w="1800"/>
          </w:tcPr>
          <w:p>
            <w:r>
              <w:rPr>
                <w:b w:val="false"/>
                <w:bCs w:val="false"/>
                <w:color w:val="000000"/>
                <w:sz w:val="20"/>
                <w:szCs w:val="20"/>
              </w:rPr>
              <w:t xml:space="preserve">POPIA</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Section 72 cross-border transfer basis documented for each channel partner</w:t>
            </w:r>
          </w:p>
        </w:tc>
        <w:tc>
          <w:tcPr>
            <w:tcW w:type="dxa" w:w="1800"/>
          </w:tcPr>
          <w:p>
            <w:r>
              <w:rPr>
                <w:b w:val="false"/>
                <w:bCs w:val="false"/>
                <w:color w:val="000000"/>
                <w:sz w:val="20"/>
                <w:szCs w:val="20"/>
              </w:rPr>
              <w:t xml:space="preserve">POPIA</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Privacy policy discloses purpose, retention, and data-subject rights</w:t>
            </w:r>
          </w:p>
        </w:tc>
        <w:tc>
          <w:tcPr>
            <w:tcW w:type="dxa" w:w="1800"/>
          </w:tcPr>
          <w:p>
            <w:r>
              <w:rPr>
                <w:b w:val="false"/>
                <w:bCs w:val="false"/>
                <w:color w:val="000000"/>
                <w:sz w:val="20"/>
                <w:szCs w:val="20"/>
              </w:rPr>
              <w:t xml:space="preserve">POPIA / GDPR</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Lawful basis identified for processing EU/UK guest data</w:t>
            </w:r>
          </w:p>
        </w:tc>
        <w:tc>
          <w:tcPr>
            <w:tcW w:type="dxa" w:w="1800"/>
          </w:tcPr>
          <w:p>
            <w:r>
              <w:rPr>
                <w:b w:val="false"/>
                <w:bCs w:val="false"/>
                <w:color w:val="000000"/>
                <w:sz w:val="20"/>
                <w:szCs w:val="20"/>
              </w:rPr>
              <w:t xml:space="preserve">GDPR</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Article 46 safeguard in place for EU-to-SA data flows</w:t>
            </w:r>
          </w:p>
        </w:tc>
        <w:tc>
          <w:tcPr>
            <w:tcW w:type="dxa" w:w="1800"/>
          </w:tcPr>
          <w:p>
            <w:r>
              <w:rPr>
                <w:b w:val="false"/>
                <w:bCs w:val="false"/>
                <w:color w:val="000000"/>
                <w:sz w:val="20"/>
                <w:szCs w:val="20"/>
              </w:rPr>
              <w:t xml:space="preserve">GDPR</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Card/payment data delegated to a PCI-DSS-compliant processor</w:t>
            </w:r>
          </w:p>
        </w:tc>
        <w:tc>
          <w:tcPr>
            <w:tcW w:type="dxa" w:w="1800"/>
          </w:tcPr>
          <w:p>
            <w:r>
              <w:rPr>
                <w:b w:val="false"/>
                <w:bCs w:val="false"/>
                <w:color w:val="000000"/>
                <w:sz w:val="20"/>
                <w:szCs w:val="20"/>
              </w:rPr>
              <w:t xml:space="preserve">PCI-DSS</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Breach/incident response plan naming the Information Officer</w:t>
            </w:r>
          </w:p>
        </w:tc>
        <w:tc>
          <w:tcPr>
            <w:tcW w:type="dxa" w:w="1800"/>
          </w:tcPr>
          <w:p>
            <w:r>
              <w:rPr>
                <w:b w:val="false"/>
                <w:bCs w:val="false"/>
                <w:color w:val="000000"/>
                <w:sz w:val="20"/>
                <w:szCs w:val="20"/>
              </w:rPr>
              <w:t xml:space="preserve">POPIA §22</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Direct-marketing consent captured per POPIA §69 (opt-in)</w:t>
            </w:r>
          </w:p>
        </w:tc>
        <w:tc>
          <w:tcPr>
            <w:tcW w:type="dxa" w:w="1800"/>
          </w:tcPr>
          <w:p>
            <w:r>
              <w:rPr>
                <w:b w:val="false"/>
                <w:bCs w:val="false"/>
                <w:color w:val="000000"/>
                <w:sz w:val="20"/>
                <w:szCs w:val="20"/>
              </w:rPr>
              <w:t xml:space="preserve">POPIA</w:t>
            </w:r>
          </w:p>
        </w:tc>
        <w:tc>
          <w:tcPr>
            <w:tcW w:type="dxa" w:w="1600"/>
          </w:tcPr>
          <w:p>
            <w:r>
              <w:rPr>
                <w:b w:val="false"/>
                <w:bCs w:val="false"/>
                <w:color w:val="000000"/>
                <w:sz w:val="20"/>
                <w:szCs w:val="20"/>
              </w:rPr>
              <w:t xml:space="preserve"/>
            </w:r>
          </w:p>
        </w:tc>
      </w:tr>
    </w:tbl>
    <w:p>
      <w:pPr>
        <w:pStyle w:val="Heading1"/>
        <w:spacing w:before="300"/>
      </w:pPr>
      <w:r>
        <w:t xml:space="preserve">7. Recommended next step</w:t>
      </w:r>
    </w:p>
    <w:p>
      <w:pPr>
        <w:spacing w:after="300"/>
      </w:pPr>
      <w:r>
        <w:t xml:space="preserve">This document is a reference overview, not a substitute for advice on StayKnit's actual data flows, documents, and structure. A South African attorney with a dedicated data-protection/technology-law practice should review the points above against the company's real privacy policy, terms of service, and channel-partner agreements.</w:t>
      </w:r>
    </w:p>
    <w:p>
      <w:r>
        <w:rPr>
          <w:i/>
          <w:iCs/>
          <w:color w:val="666666"/>
          <w:sz w:val="18"/>
          <w:szCs w:val="18"/>
        </w:rPr>
        <w:t xml:space="preserve">This is general information, not legal advice. POPIA, GDPR, and PCI-DSS outcomes depend on StayKnit's actual data flows, contracts, and structure — obtain advice on the specific facts before relying on this summary.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2026-09-22T11:15:25.926Z</dcterms:created>
  <dcterms:modified xsi:type="dcterms:W3CDTF">2026-09-22T11:15:25.935Z</dcterms:modified>
</cp:coreProperties>
</file>

<file path=docProps/custom.xml><?xml version="1.0" encoding="utf-8"?>
<Properties xmlns="http://schemas.openxmlformats.org/officeDocument/2006/custom-properties" xmlns:vt="http://schemas.openxmlformats.org/officeDocument/2006/docPropsVTypes"/>
</file>