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09E6" w:rsidRDefault="009109E6" w:rsidP="009109E6">
      <w:pPr>
        <w:jc w:val="right"/>
      </w:pPr>
    </w:p>
    <w:p w:rsidR="009109E6" w:rsidRDefault="009109E6" w:rsidP="009109E6">
      <w:pPr>
        <w:jc w:val="right"/>
      </w:pPr>
    </w:p>
    <w:p w:rsidR="008510FA" w:rsidRDefault="009109E6" w:rsidP="009109E6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DD24C4" wp14:editId="1DD85A75">
            <wp:simplePos x="0" y="0"/>
            <wp:positionH relativeFrom="margin">
              <wp:posOffset>0</wp:posOffset>
            </wp:positionH>
            <wp:positionV relativeFrom="margin">
              <wp:posOffset>184785</wp:posOffset>
            </wp:positionV>
            <wp:extent cx="1869478" cy="914400"/>
            <wp:effectExtent l="0" t="0" r="0" b="0"/>
            <wp:wrapSquare wrapText="bothSides"/>
            <wp:docPr id="44697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73136" name="Picture 4469731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47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09E6" w:rsidRPr="009109E6" w:rsidRDefault="009109E6" w:rsidP="009109E6">
      <w:pPr>
        <w:jc w:val="right"/>
        <w:rPr>
          <w:rFonts w:ascii="Arial" w:hAnsi="Arial" w:cs="Arial"/>
          <w:b/>
          <w:bCs/>
          <w:sz w:val="52"/>
          <w:szCs w:val="52"/>
        </w:rPr>
      </w:pPr>
      <w:r w:rsidRPr="009109E6">
        <w:rPr>
          <w:rFonts w:ascii="Arial" w:hAnsi="Arial" w:cs="Arial"/>
          <w:b/>
          <w:bCs/>
          <w:sz w:val="52"/>
          <w:szCs w:val="52"/>
        </w:rPr>
        <w:t>SPA</w:t>
      </w:r>
      <w:r w:rsidR="00827AE4">
        <w:rPr>
          <w:rFonts w:ascii="Arial" w:hAnsi="Arial" w:cs="Arial"/>
          <w:b/>
          <w:bCs/>
          <w:sz w:val="52"/>
          <w:szCs w:val="52"/>
        </w:rPr>
        <w:t>1</w:t>
      </w:r>
      <w:r w:rsidRPr="009109E6">
        <w:rPr>
          <w:rFonts w:ascii="Arial" w:hAnsi="Arial" w:cs="Arial"/>
          <w:b/>
          <w:bCs/>
          <w:sz w:val="52"/>
          <w:szCs w:val="52"/>
        </w:rPr>
        <w:t>051B</w:t>
      </w:r>
    </w:p>
    <w:p w:rsidR="009109E6" w:rsidRDefault="009109E6" w:rsidP="009109E6">
      <w:pPr>
        <w:jc w:val="right"/>
        <w:rPr>
          <w:rFonts w:ascii="Arial" w:hAnsi="Arial" w:cs="Arial"/>
        </w:rPr>
      </w:pPr>
      <w:r w:rsidRPr="009109E6">
        <w:rPr>
          <w:rFonts w:ascii="Arial" w:hAnsi="Arial" w:cs="Arial"/>
        </w:rPr>
        <w:t>May 1 2025</w:t>
      </w:r>
    </w:p>
    <w:p w:rsidR="009109E6" w:rsidRPr="009109E6" w:rsidRDefault="009109E6" w:rsidP="009109E6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09E6" w:rsidTr="009109E6">
        <w:tc>
          <w:tcPr>
            <w:tcW w:w="9350" w:type="dxa"/>
            <w:vAlign w:val="center"/>
          </w:tcPr>
          <w:p w:rsidR="009109E6" w:rsidRDefault="009109E6" w:rsidP="009109E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9109E6" w:rsidRDefault="009109E6" w:rsidP="009109E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109E6">
              <w:rPr>
                <w:rFonts w:ascii="Arial" w:hAnsi="Arial" w:cs="Arial"/>
                <w:b/>
                <w:bCs/>
                <w:sz w:val="36"/>
                <w:szCs w:val="36"/>
              </w:rPr>
              <w:t>DC to Breadboard Power Adapter</w:t>
            </w:r>
            <w:r w:rsidR="002C1B3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PCB</w:t>
            </w:r>
          </w:p>
          <w:p w:rsidR="009109E6" w:rsidRPr="009109E6" w:rsidRDefault="009109E6" w:rsidP="009109E6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9109E6" w:rsidRPr="009109E6" w:rsidRDefault="009109E6" w:rsidP="009109E6">
      <w:pPr>
        <w:rPr>
          <w:rFonts w:ascii="Arial" w:hAnsi="Arial" w:cs="Arial"/>
          <w:b/>
          <w:bCs/>
          <w:sz w:val="10"/>
          <w:szCs w:val="10"/>
        </w:rPr>
        <w:sectPr w:rsidR="009109E6" w:rsidRPr="009109E6" w:rsidSect="00040AF9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109E6" w:rsidRPr="009109E6" w:rsidRDefault="009109E6" w:rsidP="008D65BB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9109E6">
        <w:rPr>
          <w:rFonts w:ascii="Arial" w:hAnsi="Arial" w:cs="Arial"/>
          <w:b/>
          <w:bCs/>
          <w:sz w:val="32"/>
          <w:szCs w:val="32"/>
        </w:rPr>
        <w:t>FEATURES</w:t>
      </w:r>
    </w:p>
    <w:p w:rsidR="009109E6" w:rsidRDefault="009109E6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Selectable 5 V Regulated Output</w:t>
      </w:r>
    </w:p>
    <w:p w:rsidR="009109E6" w:rsidRDefault="009109E6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Accepts Inputs Up To 12 V</w:t>
      </w:r>
    </w:p>
    <w:p w:rsidR="008D65BB" w:rsidRDefault="009109E6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 w:rsidRPr="008D65BB">
        <w:rPr>
          <w:rFonts w:ascii="Arial" w:hAnsi="Arial" w:cs="Arial"/>
          <w:b/>
          <w:bCs/>
        </w:rPr>
        <w:t>Up To 100 mA Output Current</w:t>
      </w:r>
    </w:p>
    <w:p w:rsidR="009109E6" w:rsidRPr="008D65BB" w:rsidRDefault="009109E6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 w:rsidRPr="008D65BB">
        <w:rPr>
          <w:rFonts w:ascii="Arial" w:hAnsi="Arial" w:cs="Arial"/>
          <w:b/>
          <w:bCs/>
        </w:rPr>
        <w:t xml:space="preserve">Internal Short-Circuit Protection </w:t>
      </w:r>
    </w:p>
    <w:p w:rsidR="009109E6" w:rsidRDefault="009109E6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Integrated Thermal Shutdown Protection</w:t>
      </w:r>
    </w:p>
    <w:p w:rsidR="00512EE2" w:rsidRDefault="00512EE2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Integrated Decoupling Capacitors</w:t>
      </w:r>
    </w:p>
    <w:p w:rsidR="009109E6" w:rsidRDefault="009109E6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Low Resistance (Under 10 mΩ)</w:t>
      </w:r>
    </w:p>
    <w:p w:rsidR="009109E6" w:rsidRDefault="00512EE2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Life Span of 10 000 Switches</w:t>
      </w:r>
    </w:p>
    <w:p w:rsidR="00512EE2" w:rsidRDefault="00512EE2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Compact 12.5x30 mm Size</w:t>
      </w:r>
    </w:p>
    <w:p w:rsidR="009109E6" w:rsidRPr="00512EE2" w:rsidRDefault="00C33E75" w:rsidP="008D65BB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Manually Manufacturable</w:t>
      </w:r>
    </w:p>
    <w:p w:rsidR="009109E6" w:rsidRPr="009109E6" w:rsidRDefault="009109E6" w:rsidP="008D65B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Pr="009109E6">
        <w:rPr>
          <w:rFonts w:ascii="Arial" w:hAnsi="Arial" w:cs="Arial"/>
          <w:b/>
          <w:bCs/>
          <w:sz w:val="32"/>
          <w:szCs w:val="32"/>
        </w:rPr>
        <w:t>DESCRIPTION</w:t>
      </w:r>
    </w:p>
    <w:p w:rsidR="00A11F6C" w:rsidRDefault="00512EE2" w:rsidP="008D65BB">
      <w:pPr>
        <w:jc w:val="both"/>
      </w:pPr>
      <w:r>
        <w:t>The SPA</w:t>
      </w:r>
      <w:r w:rsidR="00827AE4">
        <w:t>1</w:t>
      </w:r>
      <w:r>
        <w:t xml:space="preserve">051B is a compact power adapter designed to connect a DC barrel jack to the power rails of a standard breadboard. </w:t>
      </w:r>
    </w:p>
    <w:p w:rsidR="00A11F6C" w:rsidRDefault="00A11F6C" w:rsidP="008D65BB">
      <w:pPr>
        <w:jc w:val="both"/>
      </w:pPr>
    </w:p>
    <w:p w:rsidR="00512EE2" w:rsidRDefault="00512EE2" w:rsidP="008D65BB">
      <w:pPr>
        <w:jc w:val="both"/>
      </w:pPr>
      <w:r>
        <w:t xml:space="preserve">It provides selectable output between the input voltage </w:t>
      </w:r>
      <w:r w:rsidR="00A11F6C">
        <w:t xml:space="preserve">of </w:t>
      </w:r>
      <w:r>
        <w:t>up to 12V and</w:t>
      </w:r>
      <w:r w:rsidR="00A11F6C">
        <w:t xml:space="preserve"> </w:t>
      </w:r>
      <w:r>
        <w:t xml:space="preserve">regulated 5V using a physical slide switch. </w:t>
      </w:r>
      <w:r w:rsidR="00A11F6C">
        <w:t>The compact 12.5x30 mm form allows it to</w:t>
      </w:r>
      <w:r w:rsidR="008D65BB">
        <w:t xml:space="preserve"> </w:t>
      </w:r>
      <w:r w:rsidR="008D65BB">
        <w:t>fit in</w:t>
      </w:r>
      <w:r w:rsidR="00A11F6C">
        <w:t xml:space="preserve"> non</w:t>
      </w:r>
      <w:r w:rsidR="008D65BB">
        <w:noBreakHyphen/>
      </w:r>
      <w:r w:rsidR="00A11F6C">
        <w:t xml:space="preserve">intrusively. </w:t>
      </w:r>
      <w:r>
        <w:t>It is ideal for powering circuits during prototyping on breadboards.</w:t>
      </w:r>
    </w:p>
    <w:p w:rsidR="009345E6" w:rsidRDefault="009345E6" w:rsidP="008D65BB">
      <w:pPr>
        <w:jc w:val="both"/>
      </w:pPr>
    </w:p>
    <w:p w:rsidR="009345E6" w:rsidRDefault="009345E6" w:rsidP="008D65BB">
      <w:pPr>
        <w:jc w:val="both"/>
      </w:pPr>
      <w:r>
        <w:t>The 5 V regulator integrates thermal shutdown protection, allowing it to be left on for extended periods of time at high power demands without risk of damage.</w:t>
      </w:r>
      <w:r w:rsidR="008D65BB">
        <w:t xml:space="preserve"> In addition, the device has been designed with thermals in mind, featuring a high thermal mass, resulting in smaller temperature rises.</w:t>
      </w:r>
    </w:p>
    <w:p w:rsidR="009109E6" w:rsidRDefault="009109E6" w:rsidP="009109E6">
      <w:pPr>
        <w:rPr>
          <w:rFonts w:ascii="Arial" w:hAnsi="Arial" w:cs="Arial"/>
        </w:rPr>
      </w:pPr>
    </w:p>
    <w:p w:rsidR="00402D92" w:rsidRDefault="00402D92" w:rsidP="009109E6">
      <w:pPr>
        <w:rPr>
          <w:rFonts w:ascii="Arial" w:hAnsi="Arial" w:cs="Arial"/>
        </w:rPr>
        <w:sectPr w:rsidR="00402D92" w:rsidSect="009109E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03B14" w:rsidRDefault="00903B14" w:rsidP="009109E6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402D92" w:rsidTr="00402D92">
        <w:tc>
          <w:tcPr>
            <w:tcW w:w="4675" w:type="dxa"/>
          </w:tcPr>
          <w:p w:rsidR="00402D92" w:rsidRDefault="00402D92" w:rsidP="003D6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94022BE" wp14:editId="6C819F4C">
                  <wp:extent cx="2926080" cy="1241083"/>
                  <wp:effectExtent l="0" t="0" r="0" b="3810"/>
                  <wp:docPr id="4420445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044552" name="Picture 44204455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24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02D92" w:rsidRDefault="00402D92" w:rsidP="003D66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3C9235D" wp14:editId="165E9143">
                  <wp:extent cx="2926080" cy="1224514"/>
                  <wp:effectExtent l="0" t="0" r="0" b="0"/>
                  <wp:docPr id="13827279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27912" name="Picture 13827279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122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D92" w:rsidRPr="00402D92" w:rsidRDefault="00402D92" w:rsidP="009109E6">
      <w:pPr>
        <w:rPr>
          <w:rFonts w:ascii="Arial" w:hAnsi="Arial" w:cs="Arial"/>
          <w:sz w:val="10"/>
          <w:szCs w:val="10"/>
        </w:rPr>
      </w:pPr>
    </w:p>
    <w:p w:rsidR="00402D92" w:rsidRDefault="00402D92" w:rsidP="009109E6">
      <w:pPr>
        <w:rPr>
          <w:rFonts w:ascii="Arial" w:hAnsi="Arial" w:cs="Arial"/>
          <w:sz w:val="16"/>
          <w:szCs w:val="16"/>
        </w:rPr>
      </w:pPr>
      <w:r w:rsidRPr="00402D92">
        <w:rPr>
          <w:rFonts w:ascii="Arial" w:hAnsi="Arial" w:cs="Arial"/>
          <w:sz w:val="16"/>
          <w:szCs w:val="16"/>
        </w:rPr>
        <w:t xml:space="preserve">See </w:t>
      </w:r>
      <w:r>
        <w:rPr>
          <w:rFonts w:ascii="Arial" w:hAnsi="Arial" w:cs="Arial"/>
          <w:sz w:val="16"/>
          <w:szCs w:val="16"/>
        </w:rPr>
        <w:t>d</w:t>
      </w:r>
      <w:r w:rsidRPr="00402D92">
        <w:rPr>
          <w:rFonts w:ascii="Arial" w:hAnsi="Arial" w:cs="Arial"/>
          <w:sz w:val="16"/>
          <w:szCs w:val="16"/>
        </w:rPr>
        <w:t xml:space="preserve">evice </w:t>
      </w:r>
      <w:r>
        <w:rPr>
          <w:rFonts w:ascii="Arial" w:hAnsi="Arial" w:cs="Arial"/>
          <w:sz w:val="16"/>
          <w:szCs w:val="16"/>
        </w:rPr>
        <w:t>i</w:t>
      </w:r>
      <w:r w:rsidRPr="00402D92">
        <w:rPr>
          <w:rFonts w:ascii="Arial" w:hAnsi="Arial" w:cs="Arial"/>
          <w:sz w:val="16"/>
          <w:szCs w:val="16"/>
        </w:rPr>
        <w:t xml:space="preserve">nformation for </w:t>
      </w:r>
      <w:r>
        <w:rPr>
          <w:rFonts w:ascii="Arial" w:hAnsi="Arial" w:cs="Arial"/>
          <w:sz w:val="16"/>
          <w:szCs w:val="16"/>
        </w:rPr>
        <w:t>d</w:t>
      </w:r>
      <w:r w:rsidRPr="00402D92">
        <w:rPr>
          <w:rFonts w:ascii="Arial" w:hAnsi="Arial" w:cs="Arial"/>
          <w:sz w:val="16"/>
          <w:szCs w:val="16"/>
        </w:rPr>
        <w:t>imensions</w:t>
      </w:r>
    </w:p>
    <w:p w:rsidR="00402D92" w:rsidRDefault="00402D9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402D92" w:rsidRDefault="00B17B05" w:rsidP="009109E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Device Overview</w:t>
      </w:r>
    </w:p>
    <w:p w:rsidR="00B17B05" w:rsidRDefault="002D46DD" w:rsidP="001F6215">
      <w:pPr>
        <w:pStyle w:val="ListParagraph"/>
        <w:numPr>
          <w:ilvl w:val="0"/>
          <w:numId w:val="2"/>
        </w:numPr>
        <w:ind w:left="360"/>
        <w:rPr>
          <w:rFonts w:cstheme="minorHAnsi"/>
        </w:rPr>
      </w:pPr>
      <w:proofErr w:type="spellStart"/>
      <w:r w:rsidRPr="002D46DD">
        <w:rPr>
          <w:rFonts w:cstheme="minorHAnsi"/>
        </w:rPr>
        <w:t>hanxia</w:t>
      </w:r>
      <w:proofErr w:type="spellEnd"/>
      <w:r w:rsidRPr="002D46DD">
        <w:rPr>
          <w:rFonts w:cstheme="minorHAnsi"/>
        </w:rPr>
        <w:t xml:space="preserve"> HX MSS12C02-BB2.0</w:t>
      </w:r>
      <w:r w:rsidRPr="002D46DD">
        <w:rPr>
          <w:rFonts w:cstheme="minorHAnsi"/>
        </w:rPr>
        <w:t xml:space="preserve"> Slide Switch</w:t>
      </w:r>
    </w:p>
    <w:p w:rsidR="002D46DD" w:rsidRPr="001F6215" w:rsidRDefault="001F6215" w:rsidP="001F6215">
      <w:pPr>
        <w:ind w:left="360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>HYPERLINK "</w:instrText>
      </w:r>
      <w:r w:rsidRPr="001F6215">
        <w:rPr>
          <w:rFonts w:cstheme="minorHAnsi"/>
        </w:rPr>
        <w:instrText>https://www.lcsc.com/datasheet/lcsc_datasheet_2410121534_hanxia-HX-MSS12C02-BB2-0_C25168817.pdf</w:instrText>
      </w:r>
      <w:r>
        <w:rPr>
          <w:rFonts w:cstheme="minorHAnsi"/>
        </w:rPr>
        <w:instrText>"</w:instrText>
      </w:r>
      <w:r>
        <w:rPr>
          <w:rFonts w:cstheme="minorHAnsi"/>
        </w:rPr>
        <w:fldChar w:fldCharType="separate"/>
      </w:r>
      <w:r w:rsidRPr="002848CD">
        <w:rPr>
          <w:rStyle w:val="Hyperlink"/>
          <w:rFonts w:cstheme="minorHAnsi"/>
        </w:rPr>
        <w:t>https://www.lcsc.com/datasheet/lcsc_datasheet_2410121534_hanxia-HX-MSS12C02-BB2-</w:t>
      </w:r>
      <w:r w:rsidRPr="002848CD">
        <w:rPr>
          <w:rStyle w:val="Hyperlink"/>
          <w:rFonts w:cstheme="minorHAnsi"/>
        </w:rPr>
        <w:t>0</w:t>
      </w:r>
      <w:r w:rsidRPr="002848CD">
        <w:rPr>
          <w:rStyle w:val="Hyperlink"/>
          <w:rFonts w:cstheme="minorHAnsi"/>
        </w:rPr>
        <w:t>_C25168817.pdf</w:t>
      </w:r>
      <w:r>
        <w:rPr>
          <w:rFonts w:cstheme="minorHAnsi"/>
        </w:rPr>
        <w:fldChar w:fldCharType="end"/>
      </w:r>
    </w:p>
    <w:p w:rsidR="002D46DD" w:rsidRDefault="002D46DD" w:rsidP="001F6215">
      <w:pPr>
        <w:pStyle w:val="ListParagraph"/>
        <w:numPr>
          <w:ilvl w:val="0"/>
          <w:numId w:val="2"/>
        </w:numPr>
        <w:ind w:left="360" w:hanging="450"/>
        <w:rPr>
          <w:rFonts w:cstheme="minorHAnsi"/>
        </w:rPr>
      </w:pPr>
      <w:proofErr w:type="spellStart"/>
      <w:r w:rsidRPr="002D46DD">
        <w:rPr>
          <w:rFonts w:cstheme="minorHAnsi"/>
        </w:rPr>
        <w:t>Slkor</w:t>
      </w:r>
      <w:proofErr w:type="spellEnd"/>
      <w:r w:rsidR="00744071">
        <w:rPr>
          <w:rFonts w:cstheme="minorHAnsi"/>
        </w:rPr>
        <w:t xml:space="preserve"> </w:t>
      </w:r>
      <w:r w:rsidRPr="002D46DD">
        <w:rPr>
          <w:rFonts w:cstheme="minorHAnsi"/>
        </w:rPr>
        <w:t>(SLKORMICRO Elec.) LM78L05D</w:t>
      </w:r>
      <w:r>
        <w:rPr>
          <w:rFonts w:cstheme="minorHAnsi"/>
        </w:rPr>
        <w:t xml:space="preserve"> 5V Linear Regulator</w:t>
      </w:r>
    </w:p>
    <w:p w:rsidR="002D46DD" w:rsidRDefault="001F6215" w:rsidP="001F6215">
      <w:pPr>
        <w:ind w:left="360"/>
        <w:rPr>
          <w:rFonts w:cstheme="minorHAnsi"/>
        </w:rPr>
      </w:pPr>
      <w:hyperlink r:id="rId15" w:history="1">
        <w:r w:rsidRPr="002848CD">
          <w:rPr>
            <w:rStyle w:val="Hyperlink"/>
            <w:rFonts w:cstheme="minorHAnsi"/>
          </w:rPr>
          <w:t>https://www.lcsc.com/datasheet/lcsc_datasheet_2401051154_Slkor-SLKORMICRO-Elec--LM78L05D_C5330393.pdf</w:t>
        </w:r>
      </w:hyperlink>
    </w:p>
    <w:p w:rsidR="002D46DD" w:rsidRDefault="002D46DD" w:rsidP="002D46DD">
      <w:pPr>
        <w:ind w:left="450"/>
        <w:rPr>
          <w:rFonts w:cstheme="minorHAnsi"/>
        </w:rPr>
      </w:pPr>
    </w:p>
    <w:p w:rsidR="009D3D3E" w:rsidRDefault="00DE7062" w:rsidP="002D46DD">
      <w:pPr>
        <w:rPr>
          <w:rFonts w:cstheme="minorHAnsi"/>
        </w:rPr>
      </w:pPr>
      <w:r>
        <w:rPr>
          <w:rFonts w:cstheme="minorHAnsi"/>
        </w:rPr>
        <w:t xml:space="preserve">When choosing capacitors and resistors, ensure power ratings are adequate for </w:t>
      </w:r>
      <w:r w:rsidR="009D3D3E">
        <w:rPr>
          <w:rFonts w:cstheme="minorHAnsi"/>
        </w:rPr>
        <w:t>their functions on the device. The 12 V limit is due to the slide switch, the linear regulator is capable up to 30 V.</w:t>
      </w:r>
    </w:p>
    <w:p w:rsidR="009D3D3E" w:rsidRDefault="009D3D3E" w:rsidP="002D46DD">
      <w:pPr>
        <w:rPr>
          <w:rFonts w:cstheme="minorHAnsi"/>
        </w:rPr>
      </w:pPr>
    </w:p>
    <w:p w:rsidR="002D46DD" w:rsidRDefault="009D3D3E" w:rsidP="002D46D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Electrical Characteristics</w:t>
      </w:r>
    </w:p>
    <w:p w:rsidR="009D3D3E" w:rsidRDefault="009D3D3E" w:rsidP="002D46DD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980"/>
        <w:gridCol w:w="1056"/>
        <w:gridCol w:w="1153"/>
        <w:gridCol w:w="1234"/>
      </w:tblGrid>
      <w:tr w:rsidR="003002B7" w:rsidTr="003002B7">
        <w:tc>
          <w:tcPr>
            <w:tcW w:w="4927" w:type="dxa"/>
            <w:vAlign w:val="center"/>
          </w:tcPr>
          <w:p w:rsidR="003002B7" w:rsidRDefault="003002B7" w:rsidP="003002B7">
            <w:pPr>
              <w:rPr>
                <w:rFonts w:cstheme="minorHAnsi"/>
              </w:rPr>
            </w:pPr>
          </w:p>
        </w:tc>
        <w:tc>
          <w:tcPr>
            <w:tcW w:w="980" w:type="dxa"/>
          </w:tcPr>
          <w:p w:rsidR="003002B7" w:rsidRDefault="003002B7" w:rsidP="003002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</w:t>
            </w:r>
          </w:p>
        </w:tc>
        <w:tc>
          <w:tcPr>
            <w:tcW w:w="1056" w:type="dxa"/>
            <w:vAlign w:val="center"/>
          </w:tcPr>
          <w:p w:rsidR="003002B7" w:rsidRPr="003002B7" w:rsidRDefault="003002B7" w:rsidP="003002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Typ.</w:t>
            </w:r>
          </w:p>
        </w:tc>
        <w:tc>
          <w:tcPr>
            <w:tcW w:w="1153" w:type="dxa"/>
            <w:vAlign w:val="center"/>
          </w:tcPr>
          <w:p w:rsidR="003002B7" w:rsidRPr="003002B7" w:rsidRDefault="003002B7" w:rsidP="003002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234" w:type="dxa"/>
            <w:vAlign w:val="center"/>
          </w:tcPr>
          <w:p w:rsidR="003002B7" w:rsidRPr="003002B7" w:rsidRDefault="003002B7" w:rsidP="003002B7">
            <w:pPr>
              <w:jc w:val="center"/>
              <w:rPr>
                <w:rFonts w:ascii="Arial" w:hAnsi="Arial" w:cs="Arial"/>
                <w:b/>
                <w:bCs/>
              </w:rPr>
            </w:pPr>
            <w:r w:rsidRPr="003002B7">
              <w:rPr>
                <w:rFonts w:ascii="Arial" w:hAnsi="Arial" w:cs="Arial"/>
                <w:b/>
                <w:bCs/>
              </w:rPr>
              <w:t>Unit</w:t>
            </w:r>
          </w:p>
        </w:tc>
      </w:tr>
      <w:tr w:rsidR="003002B7" w:rsidTr="003002B7">
        <w:tc>
          <w:tcPr>
            <w:tcW w:w="4927" w:type="dxa"/>
            <w:vAlign w:val="center"/>
          </w:tcPr>
          <w:p w:rsidR="003002B7" w:rsidRPr="003002B7" w:rsidRDefault="003002B7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>
              <w:rPr>
                <w:rFonts w:cstheme="minorHAnsi"/>
                <w:vertAlign w:val="subscript"/>
              </w:rPr>
              <w:t>in</w:t>
            </w:r>
            <w:r>
              <w:rPr>
                <w:rFonts w:cstheme="minorHAnsi"/>
              </w:rPr>
              <w:t xml:space="preserve"> </w:t>
            </w:r>
            <w:r w:rsidR="00A455D6">
              <w:rPr>
                <w:rFonts w:cstheme="minorHAnsi"/>
              </w:rPr>
              <w:t xml:space="preserve">Input Voltage </w:t>
            </w:r>
            <w:r>
              <w:rPr>
                <w:rFonts w:cstheme="minorHAnsi"/>
              </w:rPr>
              <w:t>(V</w:t>
            </w:r>
            <w:r>
              <w:rPr>
                <w:rFonts w:cstheme="minorHAnsi"/>
                <w:vertAlign w:val="subscript"/>
              </w:rPr>
              <w:t>in</w:t>
            </w:r>
            <w:r>
              <w:rPr>
                <w:rFonts w:cstheme="minorHAnsi"/>
              </w:rPr>
              <w:t xml:space="preserve"> selected)</w:t>
            </w:r>
          </w:p>
        </w:tc>
        <w:tc>
          <w:tcPr>
            <w:tcW w:w="980" w:type="dxa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56" w:type="dxa"/>
            <w:vAlign w:val="center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53" w:type="dxa"/>
            <w:vAlign w:val="center"/>
          </w:tcPr>
          <w:p w:rsidR="003002B7" w:rsidRDefault="003002B7" w:rsidP="003002B7">
            <w:pPr>
              <w:tabs>
                <w:tab w:val="left" w:pos="512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234" w:type="dxa"/>
            <w:vAlign w:val="center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  <w:tr w:rsidR="003002B7" w:rsidTr="003002B7">
        <w:tc>
          <w:tcPr>
            <w:tcW w:w="4927" w:type="dxa"/>
            <w:vAlign w:val="center"/>
          </w:tcPr>
          <w:p w:rsidR="003002B7" w:rsidRPr="003002B7" w:rsidRDefault="00A455D6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>
              <w:rPr>
                <w:rFonts w:cstheme="minorHAnsi"/>
                <w:vertAlign w:val="subscript"/>
              </w:rPr>
              <w:t xml:space="preserve">in </w:t>
            </w:r>
            <w:r>
              <w:rPr>
                <w:rFonts w:cstheme="minorHAnsi"/>
              </w:rPr>
              <w:t>Input Voltage (5 V selected)</w:t>
            </w:r>
          </w:p>
        </w:tc>
        <w:tc>
          <w:tcPr>
            <w:tcW w:w="980" w:type="dxa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056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53" w:type="dxa"/>
            <w:vAlign w:val="center"/>
          </w:tcPr>
          <w:p w:rsidR="003002B7" w:rsidRDefault="00A455D6" w:rsidP="003002B7">
            <w:pPr>
              <w:tabs>
                <w:tab w:val="left" w:pos="512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234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  <w:tr w:rsidR="003002B7" w:rsidTr="003002B7">
        <w:tc>
          <w:tcPr>
            <w:tcW w:w="4927" w:type="dxa"/>
            <w:vAlign w:val="center"/>
          </w:tcPr>
          <w:p w:rsidR="003002B7" w:rsidRPr="003002B7" w:rsidRDefault="003002B7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>
              <w:rPr>
                <w:rFonts w:cstheme="minorHAnsi"/>
                <w:vertAlign w:val="subscript"/>
              </w:rPr>
              <w:t>out</w:t>
            </w:r>
            <w:r>
              <w:rPr>
                <w:rFonts w:cstheme="minorHAnsi"/>
              </w:rPr>
              <w:t xml:space="preserve"> </w:t>
            </w:r>
            <w:r w:rsidR="00A455D6">
              <w:rPr>
                <w:rFonts w:cstheme="minorHAnsi"/>
              </w:rPr>
              <w:t xml:space="preserve">Output Voltage </w:t>
            </w:r>
            <w:r>
              <w:rPr>
                <w:rFonts w:cstheme="minorHAnsi"/>
              </w:rPr>
              <w:t>(when 5 V selected)</w:t>
            </w:r>
          </w:p>
        </w:tc>
        <w:tc>
          <w:tcPr>
            <w:tcW w:w="980" w:type="dxa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A455D6">
              <w:rPr>
                <w:rFonts w:cstheme="minorHAnsi"/>
              </w:rPr>
              <w:t>.8</w:t>
            </w:r>
          </w:p>
        </w:tc>
        <w:tc>
          <w:tcPr>
            <w:tcW w:w="1056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53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1234" w:type="dxa"/>
            <w:vAlign w:val="center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  <w:tr w:rsidR="00A455D6" w:rsidTr="003002B7">
        <w:tc>
          <w:tcPr>
            <w:tcW w:w="4927" w:type="dxa"/>
            <w:vAlign w:val="center"/>
          </w:tcPr>
          <w:p w:rsidR="00A455D6" w:rsidRPr="00A455D6" w:rsidRDefault="00A455D6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>
              <w:rPr>
                <w:rFonts w:cstheme="minorHAnsi"/>
                <w:vertAlign w:val="subscript"/>
              </w:rPr>
              <w:t xml:space="preserve">D  </w:t>
            </w:r>
            <w:r>
              <w:rPr>
                <w:rFonts w:cstheme="minorHAnsi"/>
              </w:rPr>
              <w:t>Dropout Voltage (when 5 V selected)</w:t>
            </w:r>
          </w:p>
        </w:tc>
        <w:tc>
          <w:tcPr>
            <w:tcW w:w="980" w:type="dxa"/>
          </w:tcPr>
          <w:p w:rsidR="00A455D6" w:rsidRDefault="00A455D6" w:rsidP="003002B7">
            <w:pPr>
              <w:jc w:val="center"/>
              <w:rPr>
                <w:rFonts w:cstheme="minorHAnsi"/>
              </w:rPr>
            </w:pPr>
          </w:p>
        </w:tc>
        <w:tc>
          <w:tcPr>
            <w:tcW w:w="1056" w:type="dxa"/>
            <w:vAlign w:val="center"/>
          </w:tcPr>
          <w:p w:rsidR="00A455D6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1.7</w:t>
            </w:r>
          </w:p>
        </w:tc>
        <w:tc>
          <w:tcPr>
            <w:tcW w:w="1153" w:type="dxa"/>
            <w:vAlign w:val="center"/>
          </w:tcPr>
          <w:p w:rsidR="00A455D6" w:rsidRDefault="00A455D6" w:rsidP="003002B7">
            <w:pPr>
              <w:jc w:val="center"/>
              <w:rPr>
                <w:rFonts w:cstheme="minorHAnsi"/>
              </w:rPr>
            </w:pPr>
          </w:p>
        </w:tc>
        <w:tc>
          <w:tcPr>
            <w:tcW w:w="1234" w:type="dxa"/>
            <w:vAlign w:val="center"/>
          </w:tcPr>
          <w:p w:rsidR="00A455D6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</w:tr>
      <w:tr w:rsidR="003002B7" w:rsidTr="003002B7">
        <w:tc>
          <w:tcPr>
            <w:tcW w:w="4927" w:type="dxa"/>
            <w:vAlign w:val="center"/>
          </w:tcPr>
          <w:p w:rsidR="003002B7" w:rsidRPr="003002B7" w:rsidRDefault="003002B7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>
              <w:rPr>
                <w:rFonts w:cstheme="minorHAnsi"/>
                <w:vertAlign w:val="subscript"/>
              </w:rPr>
              <w:t xml:space="preserve">out </w:t>
            </w:r>
          </w:p>
        </w:tc>
        <w:tc>
          <w:tcPr>
            <w:tcW w:w="980" w:type="dxa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056" w:type="dxa"/>
            <w:vAlign w:val="center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153" w:type="dxa"/>
            <w:vAlign w:val="center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234" w:type="dxa"/>
            <w:vAlign w:val="center"/>
          </w:tcPr>
          <w:p w:rsidR="003002B7" w:rsidRDefault="003002B7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</w:t>
            </w:r>
          </w:p>
        </w:tc>
      </w:tr>
      <w:tr w:rsidR="003002B7" w:rsidTr="003002B7">
        <w:tc>
          <w:tcPr>
            <w:tcW w:w="4927" w:type="dxa"/>
            <w:vAlign w:val="center"/>
          </w:tcPr>
          <w:p w:rsidR="003002B7" w:rsidRDefault="00A455D6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Resistance (25</w:t>
            </w:r>
            <w:r w:rsidRPr="00A455D6">
              <w:rPr>
                <w:rFonts w:cstheme="minorHAnsi"/>
              </w:rPr>
              <w:t>°</w:t>
            </w:r>
            <w:r>
              <w:rPr>
                <w:rFonts w:cstheme="minorHAnsi"/>
              </w:rPr>
              <w:t>C)</w:t>
            </w:r>
          </w:p>
        </w:tc>
        <w:tc>
          <w:tcPr>
            <w:tcW w:w="980" w:type="dxa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056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153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234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mΩ</w:t>
            </w:r>
          </w:p>
        </w:tc>
      </w:tr>
      <w:tr w:rsidR="003002B7" w:rsidTr="003002B7">
        <w:tc>
          <w:tcPr>
            <w:tcW w:w="4927" w:type="dxa"/>
            <w:vAlign w:val="center"/>
          </w:tcPr>
          <w:p w:rsidR="003002B7" w:rsidRDefault="00A455D6" w:rsidP="003002B7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Operating Temperature</w:t>
            </w:r>
          </w:p>
        </w:tc>
        <w:tc>
          <w:tcPr>
            <w:tcW w:w="980" w:type="dxa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-40</w:t>
            </w:r>
          </w:p>
        </w:tc>
        <w:tc>
          <w:tcPr>
            <w:tcW w:w="1056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1153" w:type="dxa"/>
            <w:vAlign w:val="center"/>
          </w:tcPr>
          <w:p w:rsidR="003002B7" w:rsidRPr="00F920C9" w:rsidRDefault="00A455D6" w:rsidP="003002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150</w:t>
            </w:r>
            <w:r w:rsidR="00F920C9">
              <w:rPr>
                <w:rFonts w:cstheme="minorHAnsi"/>
              </w:rPr>
              <w:t xml:space="preserve"> (T</w:t>
            </w:r>
            <w:r w:rsidR="00F920C9">
              <w:rPr>
                <w:rFonts w:cstheme="minorHAnsi"/>
                <w:vertAlign w:val="subscript"/>
              </w:rPr>
              <w:t>j</w:t>
            </w:r>
            <w:r w:rsidR="00F920C9">
              <w:rPr>
                <w:rFonts w:cstheme="minorHAnsi"/>
              </w:rPr>
              <w:t>)</w:t>
            </w:r>
          </w:p>
        </w:tc>
        <w:tc>
          <w:tcPr>
            <w:tcW w:w="1234" w:type="dxa"/>
            <w:vAlign w:val="center"/>
          </w:tcPr>
          <w:p w:rsidR="003002B7" w:rsidRDefault="00A455D6" w:rsidP="003002B7">
            <w:pPr>
              <w:jc w:val="center"/>
              <w:rPr>
                <w:rFonts w:cstheme="minorHAnsi"/>
              </w:rPr>
            </w:pPr>
            <w:r w:rsidRPr="00A455D6">
              <w:rPr>
                <w:rFonts w:cstheme="minorHAnsi"/>
              </w:rPr>
              <w:t>°</w:t>
            </w:r>
            <w:r>
              <w:rPr>
                <w:rFonts w:cstheme="minorHAnsi"/>
              </w:rPr>
              <w:t>C</w:t>
            </w:r>
          </w:p>
        </w:tc>
      </w:tr>
    </w:tbl>
    <w:p w:rsidR="00E74EE2" w:rsidRDefault="00E74EE2">
      <w:pPr>
        <w:rPr>
          <w:rFonts w:cstheme="minorHAnsi"/>
        </w:rPr>
      </w:pPr>
      <w:r>
        <w:rPr>
          <w:rFonts w:cstheme="minorHAnsi"/>
        </w:rPr>
        <w:br w:type="page"/>
      </w:r>
    </w:p>
    <w:p w:rsidR="003002B7" w:rsidRDefault="00E74EE2" w:rsidP="002D46D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Schematics &amp; Technical Diagrams</w:t>
      </w:r>
    </w:p>
    <w:p w:rsidR="00E63ABB" w:rsidRDefault="00E63ABB" w:rsidP="002D46D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7759065" cy="5908482"/>
            <wp:effectExtent l="0" t="1587" r="0" b="0"/>
            <wp:docPr id="2103122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2037" name="Picture 21031220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0278" cy="591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E2" w:rsidRDefault="00E63ABB" w:rsidP="002D46DD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  <w:r w:rsidR="00B54B6D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820660" cy="5486400"/>
            <wp:effectExtent l="0" t="1270" r="1270" b="1270"/>
            <wp:wrapSquare wrapText="bothSides"/>
            <wp:docPr id="529801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01658" name="Picture 5298016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06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A25" w:rsidRDefault="00606F37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854950" cy="3931920"/>
            <wp:effectExtent l="5715" t="0" r="0" b="0"/>
            <wp:wrapSquare wrapText="bothSides"/>
            <wp:docPr id="19625850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85093" name="Picture 19625850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5495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A25" w:rsidRDefault="00675A25">
      <w:pPr>
        <w:rPr>
          <w:rFonts w:cstheme="minorHAnsi"/>
        </w:rPr>
      </w:pPr>
      <w:r>
        <w:rPr>
          <w:rFonts w:cstheme="minorHAnsi"/>
        </w:rPr>
        <w:br w:type="page"/>
      </w:r>
    </w:p>
    <w:p w:rsidR="00B54B6D" w:rsidRDefault="00B54B6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</w:p>
    <w:p w:rsidR="00B54B6D" w:rsidRDefault="00B54B6D" w:rsidP="002D46DD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723638" cy="4297680"/>
            <wp:effectExtent l="0" t="1587" r="0" b="0"/>
            <wp:wrapSquare wrapText="bothSides"/>
            <wp:docPr id="1372700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0043" name="Picture 13727004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23638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1253" w:rsidRDefault="00B54B6D">
      <w:pPr>
        <w:rPr>
          <w:rFonts w:cstheme="minorHAnsi"/>
        </w:rPr>
      </w:pPr>
      <w:r>
        <w:rPr>
          <w:rFonts w:cstheme="minorHAnsi"/>
        </w:rPr>
        <w:t>Note that a 3D model for the slide switch was not found, and does not appear in the rendering.</w:t>
      </w:r>
      <w:r w:rsidR="00031253">
        <w:rPr>
          <w:rFonts w:cstheme="minorHAnsi"/>
        </w:rPr>
        <w:br w:type="page"/>
      </w:r>
    </w:p>
    <w:p w:rsidR="00B54B6D" w:rsidRDefault="00040AF9" w:rsidP="002D46D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Ordering Information</w:t>
      </w:r>
    </w:p>
    <w:p w:rsidR="00414AB8" w:rsidRDefault="00414AB8" w:rsidP="002D46DD">
      <w:pPr>
        <w:rPr>
          <w:rFonts w:cstheme="minorHAnsi"/>
        </w:rPr>
      </w:pPr>
      <w:r>
        <w:rPr>
          <w:rFonts w:cstheme="minorHAnsi"/>
        </w:rPr>
        <w:t>The SPA</w:t>
      </w:r>
      <w:r w:rsidR="00827AE4">
        <w:rPr>
          <w:rFonts w:cstheme="minorHAnsi"/>
        </w:rPr>
        <w:t>1</w:t>
      </w:r>
      <w:r>
        <w:rPr>
          <w:rFonts w:cstheme="minorHAnsi"/>
        </w:rPr>
        <w:t>051B was designed with the express purpose of eas</w:t>
      </w:r>
      <w:r w:rsidR="0018122D">
        <w:rPr>
          <w:rFonts w:cstheme="minorHAnsi"/>
        </w:rPr>
        <w:t>e and low cost of</w:t>
      </w:r>
      <w:r>
        <w:rPr>
          <w:rFonts w:cstheme="minorHAnsi"/>
        </w:rPr>
        <w:t xml:space="preserve"> manufactur</w:t>
      </w:r>
      <w:r w:rsidR="004A5CE7">
        <w:rPr>
          <w:rFonts w:cstheme="minorHAnsi"/>
        </w:rPr>
        <w:t>e</w:t>
      </w:r>
      <w:r>
        <w:rPr>
          <w:rFonts w:cstheme="minorHAnsi"/>
        </w:rPr>
        <w:t>. All parts were ensured to be available on LCSC. Additionally, it was elected to use parts of 1206 package for easy of manual assembly.</w:t>
      </w:r>
    </w:p>
    <w:p w:rsidR="00414AB8" w:rsidRDefault="00414AB8" w:rsidP="002D46DD">
      <w:pPr>
        <w:rPr>
          <w:rFonts w:cstheme="minorHAnsi"/>
        </w:rPr>
      </w:pPr>
    </w:p>
    <w:p w:rsidR="00414AB8" w:rsidRPr="002D46DD" w:rsidRDefault="00414AB8" w:rsidP="002D46DD">
      <w:pPr>
        <w:rPr>
          <w:rFonts w:cstheme="minorHAnsi"/>
        </w:rPr>
      </w:pPr>
      <w:r>
        <w:rPr>
          <w:rFonts w:cstheme="minorHAnsi"/>
        </w:rPr>
        <w:t>Below are the specifications that are required to produce the SPA</w:t>
      </w:r>
      <w:r w:rsidR="00827AE4">
        <w:rPr>
          <w:rFonts w:cstheme="minorHAnsi"/>
        </w:rPr>
        <w:t>1</w:t>
      </w:r>
      <w:r>
        <w:rPr>
          <w:rFonts w:cstheme="minorHAnsi"/>
        </w:rPr>
        <w:t>051B PCB: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990"/>
        <w:gridCol w:w="1080"/>
      </w:tblGrid>
      <w:tr w:rsidR="00414AB8" w:rsidTr="00414AB8">
        <w:tc>
          <w:tcPr>
            <w:tcW w:w="5215" w:type="dxa"/>
            <w:vAlign w:val="center"/>
          </w:tcPr>
          <w:p w:rsidR="00414AB8" w:rsidRDefault="00414AB8" w:rsidP="003D662B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Spec.</w:t>
            </w:r>
          </w:p>
        </w:tc>
        <w:tc>
          <w:tcPr>
            <w:tcW w:w="1080" w:type="dxa"/>
            <w:vAlign w:val="center"/>
          </w:tcPr>
          <w:p w:rsidR="00414AB8" w:rsidRPr="003002B7" w:rsidRDefault="00414AB8" w:rsidP="003D662B">
            <w:pPr>
              <w:jc w:val="center"/>
              <w:rPr>
                <w:rFonts w:ascii="Arial" w:hAnsi="Arial" w:cs="Arial"/>
                <w:b/>
                <w:bCs/>
              </w:rPr>
            </w:pPr>
            <w:r w:rsidRPr="003002B7">
              <w:rPr>
                <w:rFonts w:ascii="Arial" w:hAnsi="Arial" w:cs="Arial"/>
                <w:b/>
                <w:bCs/>
              </w:rPr>
              <w:t>Unit</w:t>
            </w:r>
          </w:p>
        </w:tc>
      </w:tr>
      <w:tr w:rsidR="00414AB8" w:rsidTr="00414AB8">
        <w:tc>
          <w:tcPr>
            <w:tcW w:w="5215" w:type="dxa"/>
            <w:vAlign w:val="center"/>
          </w:tcPr>
          <w:p w:rsidR="00414AB8" w:rsidRPr="003002B7" w:rsidRDefault="00414AB8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Minimum Trace clearance</w:t>
            </w: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0.6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</w:t>
            </w:r>
          </w:p>
        </w:tc>
      </w:tr>
      <w:tr w:rsidR="00414AB8" w:rsidTr="00414AB8">
        <w:tc>
          <w:tcPr>
            <w:tcW w:w="5215" w:type="dxa"/>
            <w:vAlign w:val="center"/>
          </w:tcPr>
          <w:p w:rsidR="00414AB8" w:rsidRPr="003002B7" w:rsidRDefault="0018122D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Minimum Trace Width</w:t>
            </w:r>
          </w:p>
        </w:tc>
        <w:tc>
          <w:tcPr>
            <w:tcW w:w="990" w:type="dxa"/>
          </w:tcPr>
          <w:p w:rsidR="00414AB8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080" w:type="dxa"/>
            <w:vAlign w:val="center"/>
          </w:tcPr>
          <w:p w:rsidR="00414AB8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mil</w:t>
            </w:r>
          </w:p>
        </w:tc>
      </w:tr>
      <w:tr w:rsidR="00414AB8" w:rsidTr="00414AB8">
        <w:tc>
          <w:tcPr>
            <w:tcW w:w="5215" w:type="dxa"/>
            <w:vAlign w:val="center"/>
          </w:tcPr>
          <w:p w:rsidR="00414AB8" w:rsidRPr="00A455D6" w:rsidRDefault="0018122D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Minimum Via Drill Size</w:t>
            </w:r>
          </w:p>
        </w:tc>
        <w:tc>
          <w:tcPr>
            <w:tcW w:w="990" w:type="dxa"/>
          </w:tcPr>
          <w:p w:rsidR="00414AB8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1080" w:type="dxa"/>
            <w:vAlign w:val="center"/>
          </w:tcPr>
          <w:p w:rsidR="00414AB8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</w:t>
            </w:r>
          </w:p>
        </w:tc>
      </w:tr>
      <w:tr w:rsidR="0018122D" w:rsidTr="00414AB8">
        <w:tc>
          <w:tcPr>
            <w:tcW w:w="5215" w:type="dxa"/>
            <w:vAlign w:val="center"/>
          </w:tcPr>
          <w:p w:rsidR="0018122D" w:rsidRPr="00A455D6" w:rsidRDefault="0018122D" w:rsidP="0018122D">
            <w:pPr>
              <w:rPr>
                <w:rFonts w:cstheme="minorHAnsi"/>
              </w:rPr>
            </w:pPr>
            <w:r>
              <w:rPr>
                <w:rFonts w:cstheme="minorHAnsi"/>
              </w:rPr>
              <w:t>Via Hole to Hole Spacing</w:t>
            </w:r>
          </w:p>
        </w:tc>
        <w:tc>
          <w:tcPr>
            <w:tcW w:w="990" w:type="dxa"/>
          </w:tcPr>
          <w:p w:rsidR="0018122D" w:rsidRDefault="0018122D" w:rsidP="00181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0.6</w:t>
            </w:r>
          </w:p>
        </w:tc>
        <w:tc>
          <w:tcPr>
            <w:tcW w:w="1080" w:type="dxa"/>
            <w:vAlign w:val="center"/>
          </w:tcPr>
          <w:p w:rsidR="0018122D" w:rsidRDefault="0018122D" w:rsidP="00181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</w:t>
            </w:r>
          </w:p>
        </w:tc>
      </w:tr>
      <w:tr w:rsidR="0018122D" w:rsidTr="00414AB8">
        <w:tc>
          <w:tcPr>
            <w:tcW w:w="5215" w:type="dxa"/>
            <w:vAlign w:val="center"/>
          </w:tcPr>
          <w:p w:rsidR="0018122D" w:rsidRDefault="0018122D" w:rsidP="0018122D">
            <w:pPr>
              <w:rPr>
                <w:rFonts w:cstheme="minorHAnsi"/>
              </w:rPr>
            </w:pPr>
            <w:r>
              <w:rPr>
                <w:rFonts w:cstheme="minorHAnsi"/>
              </w:rPr>
              <w:t>Trace/Via to Copper Pour Clearance</w:t>
            </w:r>
          </w:p>
        </w:tc>
        <w:tc>
          <w:tcPr>
            <w:tcW w:w="990" w:type="dxa"/>
          </w:tcPr>
          <w:p w:rsidR="0018122D" w:rsidRDefault="0018122D" w:rsidP="00181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0.6</w:t>
            </w:r>
          </w:p>
        </w:tc>
        <w:tc>
          <w:tcPr>
            <w:tcW w:w="1080" w:type="dxa"/>
            <w:vAlign w:val="center"/>
          </w:tcPr>
          <w:p w:rsidR="0018122D" w:rsidRDefault="0018122D" w:rsidP="00181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</w:t>
            </w:r>
          </w:p>
        </w:tc>
      </w:tr>
      <w:tr w:rsidR="0018122D" w:rsidTr="00414AB8">
        <w:tc>
          <w:tcPr>
            <w:tcW w:w="5215" w:type="dxa"/>
            <w:vAlign w:val="center"/>
          </w:tcPr>
          <w:p w:rsidR="0018122D" w:rsidRDefault="00AC7425" w:rsidP="0018122D">
            <w:pPr>
              <w:rPr>
                <w:rFonts w:cstheme="minorHAnsi"/>
              </w:rPr>
            </w:pPr>
            <w:r>
              <w:rPr>
                <w:rFonts w:cstheme="minorHAnsi"/>
              </w:rPr>
              <w:t>Minimum Character Width</w:t>
            </w:r>
          </w:p>
        </w:tc>
        <w:tc>
          <w:tcPr>
            <w:tcW w:w="990" w:type="dxa"/>
          </w:tcPr>
          <w:p w:rsidR="0018122D" w:rsidRDefault="00AC7425" w:rsidP="00181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80" w:type="dxa"/>
            <w:vAlign w:val="center"/>
          </w:tcPr>
          <w:p w:rsidR="0018122D" w:rsidRDefault="00AC7425" w:rsidP="00181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mil</w:t>
            </w:r>
          </w:p>
        </w:tc>
      </w:tr>
    </w:tbl>
    <w:p w:rsidR="00414AB8" w:rsidRDefault="00414AB8" w:rsidP="002D46DD">
      <w:pPr>
        <w:rPr>
          <w:rFonts w:cstheme="minorHAnsi"/>
        </w:rPr>
      </w:pPr>
    </w:p>
    <w:p w:rsidR="00414AB8" w:rsidRDefault="00414AB8" w:rsidP="002D46DD">
      <w:pPr>
        <w:rPr>
          <w:rFonts w:cstheme="minorHAnsi"/>
        </w:rPr>
      </w:pPr>
      <w:r>
        <w:rPr>
          <w:rFonts w:cstheme="minorHAnsi"/>
        </w:rPr>
        <w:t>Here are the specifications when producing</w:t>
      </w:r>
      <w:r w:rsidR="00D4064F">
        <w:rPr>
          <w:rFonts w:cstheme="minorHAnsi"/>
        </w:rPr>
        <w:t xml:space="preserve"> or ordering</w:t>
      </w:r>
      <w:r>
        <w:rPr>
          <w:rFonts w:cstheme="minorHAnsi"/>
        </w:rPr>
        <w:t xml:space="preserve"> the PCB</w:t>
      </w:r>
      <w:r w:rsidR="00D4064F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990"/>
        <w:gridCol w:w="1080"/>
      </w:tblGrid>
      <w:tr w:rsidR="00414AB8" w:rsidTr="003D662B">
        <w:tc>
          <w:tcPr>
            <w:tcW w:w="5215" w:type="dxa"/>
            <w:vAlign w:val="center"/>
          </w:tcPr>
          <w:p w:rsidR="00414AB8" w:rsidRDefault="00414AB8" w:rsidP="003D662B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Spec.</w:t>
            </w:r>
          </w:p>
        </w:tc>
        <w:tc>
          <w:tcPr>
            <w:tcW w:w="1080" w:type="dxa"/>
            <w:vAlign w:val="center"/>
          </w:tcPr>
          <w:p w:rsidR="00414AB8" w:rsidRPr="003002B7" w:rsidRDefault="00414AB8" w:rsidP="003D662B">
            <w:pPr>
              <w:jc w:val="center"/>
              <w:rPr>
                <w:rFonts w:ascii="Arial" w:hAnsi="Arial" w:cs="Arial"/>
                <w:b/>
                <w:bCs/>
              </w:rPr>
            </w:pPr>
            <w:r w:rsidRPr="003002B7">
              <w:rPr>
                <w:rFonts w:ascii="Arial" w:hAnsi="Arial" w:cs="Arial"/>
                <w:b/>
                <w:bCs/>
              </w:rPr>
              <w:t>Unit</w:t>
            </w:r>
          </w:p>
        </w:tc>
      </w:tr>
      <w:tr w:rsidR="0018122D" w:rsidTr="003D662B">
        <w:tc>
          <w:tcPr>
            <w:tcW w:w="5215" w:type="dxa"/>
            <w:vAlign w:val="center"/>
          </w:tcPr>
          <w:p w:rsidR="0018122D" w:rsidRDefault="0018122D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PCB Layers</w:t>
            </w:r>
          </w:p>
        </w:tc>
        <w:tc>
          <w:tcPr>
            <w:tcW w:w="990" w:type="dxa"/>
          </w:tcPr>
          <w:p w:rsidR="0018122D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80" w:type="dxa"/>
            <w:vAlign w:val="center"/>
          </w:tcPr>
          <w:p w:rsidR="0018122D" w:rsidRDefault="0018122D" w:rsidP="003D662B">
            <w:pPr>
              <w:jc w:val="center"/>
              <w:rPr>
                <w:rFonts w:cstheme="minorHAnsi"/>
              </w:rPr>
            </w:pPr>
          </w:p>
        </w:tc>
      </w:tr>
      <w:tr w:rsidR="0018122D" w:rsidTr="003D662B">
        <w:tc>
          <w:tcPr>
            <w:tcW w:w="5215" w:type="dxa"/>
            <w:vAlign w:val="center"/>
          </w:tcPr>
          <w:p w:rsidR="0018122D" w:rsidRDefault="0018122D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Board Material</w:t>
            </w:r>
          </w:p>
        </w:tc>
        <w:tc>
          <w:tcPr>
            <w:tcW w:w="990" w:type="dxa"/>
          </w:tcPr>
          <w:p w:rsidR="0018122D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1080" w:type="dxa"/>
            <w:vAlign w:val="center"/>
          </w:tcPr>
          <w:p w:rsidR="0018122D" w:rsidRDefault="0018122D" w:rsidP="003D662B">
            <w:pPr>
              <w:jc w:val="center"/>
              <w:rPr>
                <w:rFonts w:cstheme="minorHAnsi"/>
              </w:rPr>
            </w:pPr>
          </w:p>
        </w:tc>
      </w:tr>
      <w:tr w:rsidR="00414AB8" w:rsidTr="003D662B">
        <w:tc>
          <w:tcPr>
            <w:tcW w:w="5215" w:type="dxa"/>
            <w:vAlign w:val="center"/>
          </w:tcPr>
          <w:p w:rsidR="00414AB8" w:rsidRPr="003002B7" w:rsidRDefault="00414AB8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Board Thickness*</w:t>
            </w: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1.6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</w:t>
            </w:r>
          </w:p>
        </w:tc>
      </w:tr>
      <w:tr w:rsidR="00414AB8" w:rsidTr="003D662B">
        <w:tc>
          <w:tcPr>
            <w:tcW w:w="5215" w:type="dxa"/>
            <w:vAlign w:val="center"/>
          </w:tcPr>
          <w:p w:rsidR="00414AB8" w:rsidRPr="00A455D6" w:rsidRDefault="00414AB8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Board Dimensions</w:t>
            </w: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12.5x30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</w:t>
            </w:r>
          </w:p>
        </w:tc>
      </w:tr>
      <w:tr w:rsidR="00414AB8" w:rsidTr="003D662B">
        <w:tc>
          <w:tcPr>
            <w:tcW w:w="5215" w:type="dxa"/>
            <w:vAlign w:val="center"/>
          </w:tcPr>
          <w:p w:rsidR="00414AB8" w:rsidRPr="003002B7" w:rsidRDefault="00414AB8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Colour</w:t>
            </w: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</w:p>
        </w:tc>
      </w:tr>
      <w:tr w:rsidR="00414AB8" w:rsidTr="003D662B">
        <w:tc>
          <w:tcPr>
            <w:tcW w:w="5215" w:type="dxa"/>
            <w:vAlign w:val="center"/>
          </w:tcPr>
          <w:p w:rsidR="00414AB8" w:rsidRDefault="00414AB8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Surface Finish**</w:t>
            </w: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</w:p>
        </w:tc>
      </w:tr>
      <w:tr w:rsidR="00414AB8" w:rsidTr="003D662B">
        <w:tc>
          <w:tcPr>
            <w:tcW w:w="5215" w:type="dxa"/>
            <w:vAlign w:val="center"/>
          </w:tcPr>
          <w:p w:rsidR="00414AB8" w:rsidRDefault="00414AB8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Outer Copper Weight</w:t>
            </w:r>
          </w:p>
        </w:tc>
        <w:tc>
          <w:tcPr>
            <w:tcW w:w="990" w:type="dxa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oz</w:t>
            </w:r>
          </w:p>
        </w:tc>
      </w:tr>
      <w:tr w:rsidR="00414AB8" w:rsidTr="003D662B">
        <w:tc>
          <w:tcPr>
            <w:tcW w:w="5215" w:type="dxa"/>
            <w:vAlign w:val="center"/>
          </w:tcPr>
          <w:p w:rsidR="00414AB8" w:rsidRDefault="0018122D" w:rsidP="003D662B">
            <w:pPr>
              <w:rPr>
                <w:rFonts w:cstheme="minorHAnsi"/>
              </w:rPr>
            </w:pPr>
            <w:r>
              <w:rPr>
                <w:rFonts w:cstheme="minorHAnsi"/>
              </w:rPr>
              <w:t>Via Coverings</w:t>
            </w:r>
          </w:p>
        </w:tc>
        <w:tc>
          <w:tcPr>
            <w:tcW w:w="990" w:type="dxa"/>
          </w:tcPr>
          <w:p w:rsidR="00414AB8" w:rsidRDefault="0018122D" w:rsidP="003D66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  <w:tc>
          <w:tcPr>
            <w:tcW w:w="1080" w:type="dxa"/>
            <w:vAlign w:val="center"/>
          </w:tcPr>
          <w:p w:rsidR="00414AB8" w:rsidRDefault="00414AB8" w:rsidP="003D662B">
            <w:pPr>
              <w:jc w:val="center"/>
              <w:rPr>
                <w:rFonts w:cstheme="minorHAnsi"/>
              </w:rPr>
            </w:pPr>
          </w:p>
        </w:tc>
      </w:tr>
    </w:tbl>
    <w:p w:rsidR="00414AB8" w:rsidRDefault="00414AB8" w:rsidP="002D46DD">
      <w:pPr>
        <w:rPr>
          <w:rFonts w:cstheme="minorHAnsi"/>
        </w:rPr>
      </w:pPr>
    </w:p>
    <w:p w:rsidR="00040AF9" w:rsidRDefault="00414AB8" w:rsidP="002D46DD">
      <w:pPr>
        <w:rPr>
          <w:rFonts w:cstheme="minorHAnsi"/>
        </w:rPr>
      </w:pPr>
      <w:r>
        <w:rPr>
          <w:rFonts w:cstheme="minorHAnsi"/>
        </w:rPr>
        <w:t>*Other thicknesses are acceptable, though it is recommended to keep the board thin for better grounding with the ground pours.</w:t>
      </w:r>
    </w:p>
    <w:p w:rsidR="00414AB8" w:rsidRDefault="00414AB8" w:rsidP="002D46DD">
      <w:pPr>
        <w:rPr>
          <w:rFonts w:cstheme="minorHAnsi"/>
        </w:rPr>
      </w:pPr>
    </w:p>
    <w:p w:rsidR="00414AB8" w:rsidRDefault="00414AB8" w:rsidP="002D46DD">
      <w:pPr>
        <w:rPr>
          <w:rFonts w:cstheme="minorHAnsi"/>
        </w:rPr>
      </w:pPr>
      <w:r>
        <w:rPr>
          <w:rFonts w:cstheme="minorHAnsi"/>
        </w:rPr>
        <w:t>**Surface finish can be determined by the user, however, ENIG is recommended for applications requiring stocking the un-manufactured PCB for long periods of time.</w:t>
      </w:r>
      <w:r w:rsidR="00173D12">
        <w:rPr>
          <w:rFonts w:cstheme="minorHAnsi"/>
        </w:rPr>
        <w:t xml:space="preserve"> Tough HASL is acceptable in most cases.</w:t>
      </w:r>
    </w:p>
    <w:p w:rsidR="00D17196" w:rsidRDefault="00D17196" w:rsidP="002D46DD">
      <w:pPr>
        <w:rPr>
          <w:rFonts w:cstheme="minorHAnsi"/>
        </w:rPr>
      </w:pPr>
    </w:p>
    <w:p w:rsidR="00D17196" w:rsidRDefault="00D17196" w:rsidP="002D46DD">
      <w:pPr>
        <w:rPr>
          <w:rFonts w:cstheme="minorHAnsi"/>
        </w:rPr>
      </w:pPr>
    </w:p>
    <w:p w:rsidR="00D17196" w:rsidRDefault="00D17196" w:rsidP="002D46DD">
      <w:pPr>
        <w:rPr>
          <w:rFonts w:cstheme="minorHAnsi"/>
        </w:rPr>
      </w:pPr>
      <w:r>
        <w:rPr>
          <w:rFonts w:cstheme="minorHAnsi"/>
        </w:rPr>
        <w:t xml:space="preserve">When </w:t>
      </w:r>
      <w:r w:rsidR="00D43772">
        <w:rPr>
          <w:rFonts w:cstheme="minorHAnsi"/>
        </w:rPr>
        <w:t>manufacturing the PCB, ensure that all components are correctly placed, and the direction of the diode</w:t>
      </w:r>
      <w:r w:rsidR="00EE68EB">
        <w:rPr>
          <w:rFonts w:cstheme="minorHAnsi"/>
        </w:rPr>
        <w:t xml:space="preserve">, </w:t>
      </w:r>
      <w:r w:rsidR="00D43772">
        <w:rPr>
          <w:rFonts w:cstheme="minorHAnsi"/>
        </w:rPr>
        <w:t>LEDs</w:t>
      </w:r>
      <w:r w:rsidR="00EE68EB">
        <w:rPr>
          <w:rFonts w:cstheme="minorHAnsi"/>
        </w:rPr>
        <w:t xml:space="preserve"> and linear voltage regulator IC</w:t>
      </w:r>
      <w:r w:rsidR="00D43772">
        <w:rPr>
          <w:rFonts w:cstheme="minorHAnsi"/>
        </w:rPr>
        <w:t xml:space="preserve"> are correct. Also ensure that the </w:t>
      </w:r>
      <w:r w:rsidR="00F64E57">
        <w:rPr>
          <w:rFonts w:cstheme="minorHAnsi"/>
        </w:rPr>
        <w:t xml:space="preserve">chosen </w:t>
      </w:r>
      <w:r w:rsidR="00D43772">
        <w:rPr>
          <w:rFonts w:cstheme="minorHAnsi"/>
        </w:rPr>
        <w:t>parts match the specifications</w:t>
      </w:r>
      <w:r w:rsidR="00F64E57">
        <w:rPr>
          <w:rFonts w:cstheme="minorHAnsi"/>
        </w:rPr>
        <w:t>.</w:t>
      </w:r>
    </w:p>
    <w:p w:rsidR="008518B4" w:rsidRDefault="008518B4">
      <w:pPr>
        <w:rPr>
          <w:rFonts w:cstheme="minorHAnsi"/>
        </w:rPr>
      </w:pPr>
      <w:r>
        <w:rPr>
          <w:rFonts w:cstheme="minorHAnsi"/>
        </w:rPr>
        <w:br w:type="page"/>
      </w:r>
    </w:p>
    <w:p w:rsidR="000425B8" w:rsidRDefault="000425B8" w:rsidP="000425B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Important Notice</w:t>
      </w:r>
    </w:p>
    <w:p w:rsidR="008518B4" w:rsidRDefault="008518B4" w:rsidP="002D46DD">
      <w:pPr>
        <w:rPr>
          <w:rFonts w:cstheme="minorHAnsi"/>
        </w:rPr>
      </w:pPr>
    </w:p>
    <w:p w:rsidR="00687DED" w:rsidRDefault="00687DED" w:rsidP="00687DED">
      <w:pPr>
        <w:rPr>
          <w:lang w:val="en-CA"/>
        </w:rPr>
      </w:pPr>
      <w:proofErr w:type="spellStart"/>
      <w:r w:rsidRPr="00687DED">
        <w:rPr>
          <w:lang w:val="en-CA"/>
        </w:rPr>
        <w:t>Staznik</w:t>
      </w:r>
      <w:proofErr w:type="spellEnd"/>
      <w:r w:rsidRPr="00687DED">
        <w:rPr>
          <w:lang w:val="en-CA"/>
        </w:rPr>
        <w:t xml:space="preserve"> Systems provides this open-source hardware design “as-is” and makes no warranties regarding its reliability, functionality, or fitness for a particular purpose. Users are responsible for verifying the suitability of this design for their specific applications and for incorporating appropriate safety and performance safeguards.</w:t>
      </w:r>
    </w:p>
    <w:p w:rsidR="00687DED" w:rsidRPr="00687DED" w:rsidRDefault="00687DED" w:rsidP="00687DED">
      <w:pPr>
        <w:rPr>
          <w:lang w:val="en-CA"/>
        </w:rPr>
      </w:pPr>
    </w:p>
    <w:p w:rsidR="00687DED" w:rsidRDefault="00687DED" w:rsidP="00687DED">
      <w:pPr>
        <w:rPr>
          <w:lang w:val="en-CA"/>
        </w:rPr>
      </w:pPr>
      <w:r w:rsidRPr="00687DED">
        <w:rPr>
          <w:lang w:val="en-CA"/>
        </w:rPr>
        <w:t xml:space="preserve">This design is released under an open-source license for educational, hobbyist, and experimental use. While reasonable care has been taken to ensure the accuracy and utility of the design, </w:t>
      </w:r>
      <w:proofErr w:type="spellStart"/>
      <w:r w:rsidRPr="00687DED">
        <w:rPr>
          <w:lang w:val="en-CA"/>
        </w:rPr>
        <w:t>Staznik</w:t>
      </w:r>
      <w:proofErr w:type="spellEnd"/>
      <w:r w:rsidRPr="00687DED">
        <w:rPr>
          <w:lang w:val="en-CA"/>
        </w:rPr>
        <w:t xml:space="preserve"> Systems assumes no liability for any damage or loss resulting from the use of this design or any derivative work.</w:t>
      </w:r>
    </w:p>
    <w:p w:rsidR="00687DED" w:rsidRPr="00687DED" w:rsidRDefault="00687DED" w:rsidP="00687DED">
      <w:pPr>
        <w:rPr>
          <w:lang w:val="en-CA"/>
        </w:rPr>
      </w:pPr>
    </w:p>
    <w:p w:rsidR="00687DED" w:rsidRDefault="00687DED" w:rsidP="00687DED">
      <w:pPr>
        <w:rPr>
          <w:lang w:val="en-CA"/>
        </w:rPr>
      </w:pPr>
      <w:r w:rsidRPr="00687DED">
        <w:rPr>
          <w:lang w:val="en-CA"/>
        </w:rPr>
        <w:t>Modifications, redistribution, and use in commercial or non-commercial applications are permitted, provided that proper credit is given and any derivative works are clearly marked as such. The name “</w:t>
      </w:r>
      <w:proofErr w:type="spellStart"/>
      <w:r w:rsidRPr="00687DED">
        <w:rPr>
          <w:lang w:val="en-CA"/>
        </w:rPr>
        <w:t>Staznik</w:t>
      </w:r>
      <w:proofErr w:type="spellEnd"/>
      <w:r w:rsidRPr="00687DED">
        <w:rPr>
          <w:lang w:val="en-CA"/>
        </w:rPr>
        <w:t xml:space="preserve"> Systems” and any associated logos or marks may not be used to promote derivative works without prior written permission.</w:t>
      </w:r>
    </w:p>
    <w:p w:rsidR="00687DED" w:rsidRPr="00687DED" w:rsidRDefault="00687DED" w:rsidP="00687DED">
      <w:pPr>
        <w:rPr>
          <w:lang w:val="en-CA"/>
        </w:rPr>
      </w:pPr>
    </w:p>
    <w:p w:rsidR="00687DED" w:rsidRDefault="00687DED" w:rsidP="00687DED">
      <w:pPr>
        <w:rPr>
          <w:lang w:val="en-CA"/>
        </w:rPr>
      </w:pPr>
      <w:proofErr w:type="spellStart"/>
      <w:r w:rsidRPr="00687DED">
        <w:rPr>
          <w:lang w:val="en-CA"/>
        </w:rPr>
        <w:t>Staznik</w:t>
      </w:r>
      <w:proofErr w:type="spellEnd"/>
      <w:r w:rsidRPr="00687DED">
        <w:rPr>
          <w:lang w:val="en-CA"/>
        </w:rPr>
        <w:t xml:space="preserve"> Systems does not authorize the use of this design in life-critical or safety-critical systems without an explicit and separate agreement.</w:t>
      </w:r>
    </w:p>
    <w:p w:rsidR="00687DED" w:rsidRPr="00687DED" w:rsidRDefault="00687DED" w:rsidP="00687DED">
      <w:pPr>
        <w:rPr>
          <w:lang w:val="en-CA"/>
        </w:rPr>
      </w:pPr>
    </w:p>
    <w:p w:rsidR="00687DED" w:rsidRPr="00687DED" w:rsidRDefault="00687DED" w:rsidP="00687DED">
      <w:pPr>
        <w:rPr>
          <w:lang w:val="en-CA"/>
        </w:rPr>
      </w:pPr>
      <w:r w:rsidRPr="00687DED">
        <w:rPr>
          <w:lang w:val="en-CA"/>
        </w:rPr>
        <w:t xml:space="preserve">© </w:t>
      </w:r>
      <w:proofErr w:type="spellStart"/>
      <w:r w:rsidRPr="00687DED">
        <w:rPr>
          <w:lang w:val="en-CA"/>
        </w:rPr>
        <w:t>Staznik</w:t>
      </w:r>
      <w:proofErr w:type="spellEnd"/>
      <w:r w:rsidRPr="00687DED">
        <w:rPr>
          <w:lang w:val="en-CA"/>
        </w:rPr>
        <w:t xml:space="preserve"> Systems. This project is open-source. All contributions and derivatives must comply with the accompanying license.</w:t>
      </w:r>
    </w:p>
    <w:p w:rsidR="000425B8" w:rsidRPr="00687DED" w:rsidRDefault="000425B8" w:rsidP="00687DED">
      <w:pPr>
        <w:rPr>
          <w:rFonts w:cstheme="minorHAnsi"/>
        </w:rPr>
      </w:pPr>
    </w:p>
    <w:sectPr w:rsidR="000425B8" w:rsidRPr="00687DED" w:rsidSect="00E63AB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3C9A" w:rsidRDefault="00CD3C9A" w:rsidP="00402D92">
      <w:r>
        <w:separator/>
      </w:r>
    </w:p>
  </w:endnote>
  <w:endnote w:type="continuationSeparator" w:id="0">
    <w:p w:rsidR="00CD3C9A" w:rsidRDefault="00CD3C9A" w:rsidP="0040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85759406"/>
      <w:docPartObj>
        <w:docPartGallery w:val="Page Numbers (Bottom of Page)"/>
        <w:docPartUnique/>
      </w:docPartObj>
    </w:sdtPr>
    <w:sdtContent>
      <w:p w:rsidR="00E63ABB" w:rsidRDefault="00E63ABB" w:rsidP="002848C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63ABB" w:rsidRDefault="00E63ABB" w:rsidP="00E63AB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F01E9F" w:rsidTr="003D662B">
      <w:tc>
        <w:tcPr>
          <w:tcW w:w="9350" w:type="dxa"/>
          <w:tcBorders>
            <w:top w:val="single" w:sz="12" w:space="0" w:color="000000" w:themeColor="text1"/>
            <w:left w:val="nil"/>
            <w:bottom w:val="nil"/>
            <w:right w:val="nil"/>
          </w:tcBorders>
        </w:tcPr>
        <w:p w:rsidR="00F01E9F" w:rsidRPr="00F01E9F" w:rsidRDefault="00F01E9F" w:rsidP="00E63ABB">
          <w:pPr>
            <w:pStyle w:val="Footer"/>
            <w:ind w:firstLine="360"/>
            <w:rPr>
              <w:sz w:val="2"/>
              <w:szCs w:val="2"/>
            </w:rPr>
          </w:pPr>
        </w:p>
      </w:tc>
    </w:tr>
  </w:tbl>
  <w:p w:rsidR="00F01E9F" w:rsidRDefault="00F01E9F" w:rsidP="00F01E9F">
    <w:pPr>
      <w:pStyle w:val="Footer"/>
    </w:pPr>
  </w:p>
  <w:sdt>
    <w:sdtPr>
      <w:rPr>
        <w:rStyle w:val="PageNumber"/>
      </w:rPr>
      <w:id w:val="-1082990522"/>
      <w:docPartObj>
        <w:docPartGallery w:val="Page Numbers (Bottom of Page)"/>
        <w:docPartUnique/>
      </w:docPartObj>
    </w:sdtPr>
    <w:sdtContent>
      <w:p w:rsidR="00E63ABB" w:rsidRDefault="00E63ABB" w:rsidP="00E63ABB">
        <w:pPr>
          <w:pStyle w:val="Footer"/>
          <w:framePr w:wrap="none" w:vAnchor="text" w:hAnchor="margin" w:y="1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F01E9F" w:rsidRPr="00F01E9F" w:rsidRDefault="00F01E9F" w:rsidP="00F01E9F">
    <w:pPr>
      <w:pStyle w:val="Footer"/>
      <w:jc w:val="right"/>
      <w:rPr>
        <w:sz w:val="20"/>
        <w:szCs w:val="20"/>
      </w:rPr>
    </w:pPr>
    <w:r w:rsidRPr="00F01E9F">
      <w:rPr>
        <w:sz w:val="20"/>
        <w:szCs w:val="20"/>
      </w:rPr>
      <w:t xml:space="preserve"> Copyright © 2025 Staznik Systems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1883283"/>
      <w:docPartObj>
        <w:docPartGallery w:val="Page Numbers (Bottom of Page)"/>
        <w:docPartUnique/>
      </w:docPartObj>
    </w:sdtPr>
    <w:sdtContent>
      <w:p w:rsidR="00E63ABB" w:rsidRDefault="00E63ABB" w:rsidP="002848C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F01E9F" w:rsidTr="00F01E9F">
      <w:tc>
        <w:tcPr>
          <w:tcW w:w="9350" w:type="dxa"/>
          <w:tcBorders>
            <w:top w:val="single" w:sz="12" w:space="0" w:color="000000" w:themeColor="text1"/>
            <w:left w:val="nil"/>
            <w:bottom w:val="nil"/>
            <w:right w:val="nil"/>
          </w:tcBorders>
        </w:tcPr>
        <w:p w:rsidR="00F01E9F" w:rsidRPr="00F01E9F" w:rsidRDefault="00F01E9F" w:rsidP="00E63ABB">
          <w:pPr>
            <w:pStyle w:val="Footer"/>
            <w:ind w:firstLine="360"/>
            <w:rPr>
              <w:sz w:val="2"/>
              <w:szCs w:val="2"/>
            </w:rPr>
          </w:pPr>
        </w:p>
      </w:tc>
    </w:tr>
  </w:tbl>
  <w:p w:rsidR="00F01E9F" w:rsidRDefault="00F01E9F">
    <w:pPr>
      <w:pStyle w:val="Footer"/>
    </w:pPr>
  </w:p>
  <w:p w:rsidR="00F01E9F" w:rsidRPr="00F01E9F" w:rsidRDefault="00F01E9F" w:rsidP="00F01E9F">
    <w:pPr>
      <w:pStyle w:val="Footer"/>
      <w:jc w:val="right"/>
      <w:rPr>
        <w:sz w:val="20"/>
        <w:szCs w:val="20"/>
      </w:rPr>
    </w:pPr>
    <w:r w:rsidRPr="00F01E9F">
      <w:rPr>
        <w:sz w:val="20"/>
        <w:szCs w:val="20"/>
      </w:rPr>
      <w:t xml:space="preserve"> Copyright </w:t>
    </w:r>
    <w:r w:rsidRPr="00F01E9F">
      <w:rPr>
        <w:sz w:val="20"/>
        <w:szCs w:val="20"/>
      </w:rPr>
      <w:t>©</w:t>
    </w:r>
    <w:r w:rsidRPr="00F01E9F">
      <w:rPr>
        <w:sz w:val="20"/>
        <w:szCs w:val="20"/>
      </w:rPr>
      <w:t xml:space="preserve"> 2025 Staznik Systems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3C9A" w:rsidRDefault="00CD3C9A" w:rsidP="00402D92">
      <w:r>
        <w:separator/>
      </w:r>
    </w:p>
  </w:footnote>
  <w:footnote w:type="continuationSeparator" w:id="0">
    <w:p w:rsidR="00CD3C9A" w:rsidRDefault="00CD3C9A" w:rsidP="00402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57B7" w:rsidRPr="00F01E9F" w:rsidRDefault="001A73FC" w:rsidP="001A73FC">
    <w:pPr>
      <w:pStyle w:val="Header"/>
      <w:tabs>
        <w:tab w:val="clear" w:pos="4680"/>
        <w:tab w:val="left" w:pos="7290"/>
      </w:tabs>
      <w:rPr>
        <w:rFonts w:ascii="Arial" w:hAnsi="Arial" w:cs="Arial"/>
        <w:b/>
        <w:bCs/>
        <w:color w:val="000000" w:themeColor="text1"/>
        <w:sz w:val="40"/>
        <w:szCs w:val="40"/>
      </w:rPr>
    </w:pPr>
    <w:r w:rsidRPr="00F01E9F">
      <w:rPr>
        <w:rFonts w:ascii="Arial" w:hAnsi="Arial" w:cs="Arial"/>
        <w:b/>
        <w:bCs/>
        <w:noProof/>
        <w:color w:val="000000" w:themeColor="text1"/>
        <w:sz w:val="40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4986064</wp:posOffset>
          </wp:positionH>
          <wp:positionV relativeFrom="paragraph">
            <wp:posOffset>42545</wp:posOffset>
          </wp:positionV>
          <wp:extent cx="934358" cy="457200"/>
          <wp:effectExtent l="0" t="0" r="5715" b="0"/>
          <wp:wrapSquare wrapText="bothSides"/>
          <wp:docPr id="186163503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6047512" name="Picture 3760475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4358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57B7" w:rsidRPr="00F01E9F">
      <w:rPr>
        <w:rFonts w:ascii="Arial" w:hAnsi="Arial" w:cs="Arial"/>
        <w:b/>
        <w:bCs/>
        <w:color w:val="000000" w:themeColor="text1"/>
        <w:sz w:val="40"/>
        <w:szCs w:val="40"/>
      </w:rPr>
      <w:t>SPA</w:t>
    </w:r>
    <w:r w:rsidR="00827AE4">
      <w:rPr>
        <w:rFonts w:ascii="Arial" w:hAnsi="Arial" w:cs="Arial"/>
        <w:b/>
        <w:bCs/>
        <w:color w:val="000000" w:themeColor="text1"/>
        <w:sz w:val="40"/>
        <w:szCs w:val="40"/>
      </w:rPr>
      <w:t>1</w:t>
    </w:r>
    <w:r w:rsidR="00D357B7" w:rsidRPr="00F01E9F">
      <w:rPr>
        <w:rFonts w:ascii="Arial" w:hAnsi="Arial" w:cs="Arial"/>
        <w:b/>
        <w:bCs/>
        <w:color w:val="000000" w:themeColor="text1"/>
        <w:sz w:val="40"/>
        <w:szCs w:val="40"/>
      </w:rPr>
      <w:t>051B</w:t>
    </w:r>
  </w:p>
  <w:p w:rsidR="00D357B7" w:rsidRPr="00F01E9F" w:rsidRDefault="00D357B7" w:rsidP="00D357B7">
    <w:pPr>
      <w:pStyle w:val="Header"/>
      <w:tabs>
        <w:tab w:val="clear" w:pos="4680"/>
        <w:tab w:val="center" w:pos="6300"/>
      </w:tabs>
      <w:rPr>
        <w:rFonts w:ascii="Arial" w:hAnsi="Arial" w:cs="Arial"/>
        <w:color w:val="000000" w:themeColor="text1"/>
        <w:sz w:val="22"/>
        <w:szCs w:val="22"/>
      </w:rPr>
    </w:pPr>
    <w:r w:rsidRPr="00F01E9F">
      <w:rPr>
        <w:rFonts w:ascii="Arial" w:hAnsi="Arial" w:cs="Arial"/>
        <w:color w:val="000000" w:themeColor="text1"/>
        <w:sz w:val="22"/>
        <w:szCs w:val="22"/>
      </w:rPr>
      <w:t>May 2025</w:t>
    </w:r>
  </w:p>
  <w:tbl>
    <w:tblPr>
      <w:tblStyle w:val="TableGrid"/>
      <w:tblW w:w="0" w:type="auto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1A73FC" w:rsidTr="00F01E9F">
      <w:tc>
        <w:tcPr>
          <w:tcW w:w="9350" w:type="dxa"/>
          <w:tcBorders>
            <w:top w:val="single" w:sz="12" w:space="0" w:color="000000" w:themeColor="text1"/>
          </w:tcBorders>
        </w:tcPr>
        <w:p w:rsidR="001A73FC" w:rsidRPr="001A73FC" w:rsidRDefault="001A73FC" w:rsidP="00D357B7">
          <w:pPr>
            <w:pStyle w:val="Header"/>
            <w:rPr>
              <w:rFonts w:ascii="Arial" w:hAnsi="Arial" w:cs="Arial"/>
              <w:b/>
              <w:bCs/>
              <w:sz w:val="2"/>
              <w:szCs w:val="2"/>
            </w:rPr>
          </w:pPr>
        </w:p>
      </w:tc>
    </w:tr>
  </w:tbl>
  <w:p w:rsidR="001A73FC" w:rsidRPr="001A73FC" w:rsidRDefault="001A73FC" w:rsidP="00D357B7">
    <w:pPr>
      <w:pStyle w:val="Header"/>
      <w:rPr>
        <w:rFonts w:ascii="Arial" w:hAnsi="Arial" w:cs="Arial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0B49"/>
    <w:multiLevelType w:val="hybridMultilevel"/>
    <w:tmpl w:val="52A0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E3570"/>
    <w:multiLevelType w:val="hybridMultilevel"/>
    <w:tmpl w:val="741C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01142">
    <w:abstractNumId w:val="0"/>
  </w:num>
  <w:num w:numId="2" w16cid:durableId="139789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E6"/>
    <w:rsid w:val="00031253"/>
    <w:rsid w:val="00040AF9"/>
    <w:rsid w:val="000425B8"/>
    <w:rsid w:val="00077ABD"/>
    <w:rsid w:val="00136D73"/>
    <w:rsid w:val="00173D12"/>
    <w:rsid w:val="0018122D"/>
    <w:rsid w:val="001A73FC"/>
    <w:rsid w:val="001F6215"/>
    <w:rsid w:val="002C1B30"/>
    <w:rsid w:val="002D46DD"/>
    <w:rsid w:val="003002B7"/>
    <w:rsid w:val="00402D92"/>
    <w:rsid w:val="00414AB8"/>
    <w:rsid w:val="004A5CE7"/>
    <w:rsid w:val="00512EE2"/>
    <w:rsid w:val="00606F37"/>
    <w:rsid w:val="00675A25"/>
    <w:rsid w:val="00687DED"/>
    <w:rsid w:val="006E74D5"/>
    <w:rsid w:val="00744071"/>
    <w:rsid w:val="007B0045"/>
    <w:rsid w:val="00827AE4"/>
    <w:rsid w:val="008510FA"/>
    <w:rsid w:val="008518B4"/>
    <w:rsid w:val="008D65BB"/>
    <w:rsid w:val="00903B14"/>
    <w:rsid w:val="009109E6"/>
    <w:rsid w:val="009345E6"/>
    <w:rsid w:val="00982660"/>
    <w:rsid w:val="0098332F"/>
    <w:rsid w:val="009D3D3E"/>
    <w:rsid w:val="00A11F6C"/>
    <w:rsid w:val="00A455D6"/>
    <w:rsid w:val="00AC7425"/>
    <w:rsid w:val="00B17B05"/>
    <w:rsid w:val="00B54B6D"/>
    <w:rsid w:val="00B7181E"/>
    <w:rsid w:val="00C33E75"/>
    <w:rsid w:val="00CD3C9A"/>
    <w:rsid w:val="00D17196"/>
    <w:rsid w:val="00D357B7"/>
    <w:rsid w:val="00D4064F"/>
    <w:rsid w:val="00D43772"/>
    <w:rsid w:val="00DE7062"/>
    <w:rsid w:val="00E63ABB"/>
    <w:rsid w:val="00E74EE2"/>
    <w:rsid w:val="00EE68EB"/>
    <w:rsid w:val="00F01E9F"/>
    <w:rsid w:val="00F64E57"/>
    <w:rsid w:val="00F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2F986"/>
  <w15:chartTrackingRefBased/>
  <w15:docId w15:val="{EC6DD9B6-9E67-9746-89BD-1555CB04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109E6"/>
    <w:rPr>
      <w:lang w:val="en-US"/>
    </w:rPr>
  </w:style>
  <w:style w:type="paragraph" w:styleId="ListParagraph">
    <w:name w:val="List Paragraph"/>
    <w:basedOn w:val="Normal"/>
    <w:uiPriority w:val="34"/>
    <w:qFormat/>
    <w:rsid w:val="009109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D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D9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D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D9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D4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6D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63ABB"/>
  </w:style>
  <w:style w:type="character" w:styleId="FollowedHyperlink">
    <w:name w:val="FollowedHyperlink"/>
    <w:basedOn w:val="DefaultParagraphFont"/>
    <w:uiPriority w:val="99"/>
    <w:semiHidden/>
    <w:unhideWhenUsed/>
    <w:rsid w:val="001F6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lcsc.com/datasheet/lcsc_datasheet_2401051154_Slkor-SLKORMICRO-Elec--LM78L05D_C5330393.pd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94746E-E467-2A42-85F6-C4D1AAD6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Staznik</dc:creator>
  <cp:keywords/>
  <dc:description/>
  <cp:lastModifiedBy>Goran Staznik</cp:lastModifiedBy>
  <cp:revision>39</cp:revision>
  <dcterms:created xsi:type="dcterms:W3CDTF">2025-05-01T16:51:00Z</dcterms:created>
  <dcterms:modified xsi:type="dcterms:W3CDTF">2025-05-02T03:43:00Z</dcterms:modified>
</cp:coreProperties>
</file>