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B4F72"/>
          <w:sz w:val="72"/>
        </w:rPr>
        <w:t>ADOVA</w:t>
      </w:r>
    </w:p>
    <w:p>
      <w:pPr>
        <w:jc w:val="center"/>
      </w:pPr>
      <w:r>
        <w:rPr>
          <w:i/>
          <w:color w:val="2E86AB"/>
          <w:sz w:val="28"/>
        </w:rPr>
        <w:t>[Tagline / strapline — elevator pitch in one line]</w:t>
      </w:r>
    </w:p>
    <w:p>
      <w:pPr>
        <w:spacing w:before="1200"/>
        <w:jc w:val="center"/>
      </w:pPr>
      <w:r>
        <w:rPr>
          <w:b/>
          <w:color w:val="7F8C8D"/>
          <w:sz w:val="24"/>
        </w:rPr>
        <w:t>BUSINESS PLAN  |  2025</w:t>
      </w:r>
    </w:p>
    <w:p>
      <w:pPr>
        <w:jc w:val="center"/>
      </w:pPr>
      <w:r>
        <w:rPr>
          <w:i/>
          <w:color w:val="7F8C8D"/>
          <w:sz w:val="18"/>
        </w:rPr>
        <w:t>Confidential — Prepared by the Adova Founding Team</w:t>
      </w:r>
    </w:p>
    <w:p>
      <w:r>
        <w:br w:type="page"/>
      </w:r>
    </w:p>
    <w:p>
      <w:pPr>
        <w:pStyle w:val="Heading1"/>
      </w:pPr>
      <w:r>
        <w:rPr>
          <w:color w:val="1B4F72"/>
          <w:sz w:val="30"/>
        </w:rPr>
        <w:t>Executive Summary</w:t>
      </w:r>
    </w:p>
    <w:p>
      <w:pPr>
        <w:pStyle w:val="Heading2"/>
      </w:pPr>
      <w:r>
        <w:rPr>
          <w:color w:val="2E86AB"/>
          <w:sz w:val="24"/>
        </w:rPr>
        <w:t>The Opportunity in One Sentence</w:t>
      </w:r>
    </w:p>
    <w:p>
      <w:pPr>
        <w:pStyle w:val="ListBullet"/>
        <w:spacing w:after="60"/>
      </w:pPr>
      <w:r>
        <w:t>[Single sentence capturing problem, solution, and scale]</w:t>
      </w:r>
    </w:p>
    <w:p>
      <w:pPr>
        <w:pStyle w:val="Heading2"/>
      </w:pPr>
      <w:r>
        <w:rPr>
          <w:color w:val="2E86AB"/>
          <w:sz w:val="24"/>
        </w:rPr>
        <w:t>The Problem</w:t>
      </w:r>
    </w:p>
    <w:p>
      <w:pPr>
        <w:pStyle w:val="ListBullet"/>
        <w:spacing w:after="60"/>
      </w:pPr>
      <w:r>
        <w:t>[What structural gap Adova addresses]</w:t>
      </w:r>
    </w:p>
    <w:p>
      <w:pPr>
        <w:pStyle w:val="ListBullet"/>
        <w:spacing w:after="60"/>
      </w:pPr>
      <w:r>
        <w:t>[Key stat: 200M+ SMEs globally without in-house marketing]</w:t>
      </w:r>
    </w:p>
    <w:p>
      <w:pPr>
        <w:pStyle w:val="Heading2"/>
      </w:pPr>
      <w:r>
        <w:rPr>
          <w:color w:val="2E86AB"/>
          <w:sz w:val="24"/>
        </w:rPr>
        <w:t>The Solution</w:t>
      </w:r>
    </w:p>
    <w:p>
      <w:pPr>
        <w:pStyle w:val="ListBullet"/>
        <w:spacing w:after="60"/>
      </w:pPr>
      <w:r>
        <w:t>[How Adova works — plain language input → AI → human review → delivery]</w:t>
      </w:r>
    </w:p>
    <w:p>
      <w:pPr>
        <w:pStyle w:val="ListBullet"/>
        <w:spacing w:after="60"/>
      </w:pPr>
      <w:r>
        <w:t>[Key value props: 5× faster, up to 60% cheaper, no learning curve]</w:t>
      </w:r>
    </w:p>
    <w:p>
      <w:pPr>
        <w:pStyle w:val="Heading2"/>
      </w:pPr>
      <w:r>
        <w:rPr>
          <w:color w:val="2E86AB"/>
          <w:sz w:val="24"/>
        </w:rPr>
        <w:t>Market Opportunity</w:t>
      </w:r>
    </w:p>
    <w:p>
      <w:pPr>
        <w:pStyle w:val="ListBullet"/>
        <w:spacing w:after="60"/>
      </w:pPr>
      <w:r>
        <w:t>[TAM / SAM / SOM headline figures]</w:t>
      </w:r>
    </w:p>
    <w:p>
      <w:pPr>
        <w:pStyle w:val="ListBullet"/>
        <w:spacing w:after="60"/>
      </w:pPr>
      <w:r>
        <w:t>[Primary market: UK/EU SMEs]</w:t>
      </w:r>
    </w:p>
    <w:p>
      <w:pPr>
        <w:pStyle w:val="Heading2"/>
      </w:pPr>
      <w:r>
        <w:rPr>
          <w:color w:val="2E86AB"/>
          <w:sz w:val="24"/>
        </w:rPr>
        <w:t>Business Model</w:t>
      </w:r>
    </w:p>
    <w:p>
      <w:pPr>
        <w:pStyle w:val="ListBullet"/>
        <w:spacing w:after="60"/>
      </w:pPr>
      <w:r>
        <w:t>[Three-tier pricing: Starter, Growth £29/mo, Scale custom]</w:t>
      </w:r>
    </w:p>
    <w:p>
      <w:pPr>
        <w:pStyle w:val="ListBullet"/>
        <w:spacing w:after="60"/>
      </w:pPr>
      <w:r>
        <w:t>[Trajectory: Service → Product → Platform]</w:t>
      </w:r>
    </w:p>
    <w:p>
      <w:pPr>
        <w:pStyle w:val="Heading2"/>
      </w:pPr>
      <w:r>
        <w:rPr>
          <w:color w:val="2E86AB"/>
          <w:sz w:val="24"/>
        </w:rPr>
        <w:t>Vision and Mission</w:t>
      </w:r>
    </w:p>
    <w:p>
      <w:pPr>
        <w:pStyle w:val="ListBullet"/>
        <w:spacing w:after="60"/>
      </w:pPr>
      <w:r>
        <w:t>Vision: [one sentence]</w:t>
      </w:r>
    </w:p>
    <w:p>
      <w:pPr>
        <w:pStyle w:val="ListBullet"/>
        <w:spacing w:after="60"/>
      </w:pPr>
      <w:r>
        <w:t>Mission: [one sentence]</w:t>
      </w:r>
    </w:p>
    <w:p>
      <w:pPr>
        <w:pStyle w:val="Heading2"/>
      </w:pPr>
      <w:r>
        <w:rPr>
          <w:color w:val="2E86AB"/>
          <w:sz w:val="24"/>
        </w:rPr>
        <w:t>Next Steps</w:t>
      </w:r>
    </w:p>
    <w:p>
      <w:pPr>
        <w:pStyle w:val="ListBullet"/>
        <w:spacing w:after="60"/>
      </w:pPr>
      <w:r>
        <w:t>[What Adova is seeking — pilots, partnerships, investment]</w:t>
      </w:r>
    </w:p>
    <w:p>
      <w:r>
        <w:br w:type="page"/>
      </w:r>
    </w:p>
    <w:p>
      <w:pPr>
        <w:pStyle w:val="Heading1"/>
      </w:pPr>
      <w:r>
        <w:rPr>
          <w:color w:val="1B4F72"/>
          <w:sz w:val="30"/>
        </w:rPr>
        <w:t>Idea Generation and Problem Definition</w:t>
      </w:r>
    </w:p>
    <w:p>
      <w:pPr>
        <w:pStyle w:val="Heading2"/>
      </w:pPr>
      <w:r>
        <w:rPr>
          <w:color w:val="2E86AB"/>
          <w:sz w:val="24"/>
        </w:rPr>
        <w:t>The Structural Gap in SME Marketing</w:t>
      </w:r>
    </w:p>
    <w:p>
      <w:pPr>
        <w:pStyle w:val="ListBullet"/>
        <w:spacing w:after="60"/>
      </w:pPr>
      <w:r>
        <w:t>[Context: 200M+ SMEs, most without marketing function]</w:t>
      </w:r>
    </w:p>
    <w:p>
      <w:pPr>
        <w:pStyle w:val="ListBullet"/>
        <w:spacing w:after="60"/>
      </w:pPr>
      <w:r>
        <w:t>[Why this is a structural problem, not a motivational one]</w:t>
      </w:r>
    </w:p>
    <w:p>
      <w:pPr>
        <w:pStyle w:val="Heading2"/>
      </w:pPr>
      <w:r>
        <w:rPr>
          <w:color w:val="2E86AB"/>
          <w:sz w:val="24"/>
        </w:rPr>
        <w:t>Three Converging Barriers</w:t>
      </w:r>
    </w:p>
    <w:p>
      <w:pPr>
        <w:pStyle w:val="ListBullet"/>
        <w:spacing w:after="60"/>
      </w:pPr>
      <w:r>
        <w:t>1. No in-house marketing capability — [explain]</w:t>
      </w:r>
    </w:p>
    <w:p>
      <w:pPr>
        <w:pStyle w:val="ListBullet"/>
        <w:spacing w:after="60"/>
      </w:pPr>
      <w:r>
        <w:t>2. Agency costs are prohibitive — [explain with estimated cost range]</w:t>
      </w:r>
    </w:p>
    <w:p>
      <w:pPr>
        <w:pStyle w:val="ListBullet"/>
        <w:spacing w:after="60"/>
      </w:pPr>
      <w:r>
        <w:t>3. Generic AI tools are too complex — [explain]</w:t>
      </w:r>
    </w:p>
    <w:p>
      <w:pPr>
        <w:pStyle w:val="Heading2"/>
      </w:pPr>
      <w:r>
        <w:rPr>
          <w:color w:val="2E86AB"/>
          <w:sz w:val="24"/>
        </w:rPr>
        <w:t>The Gap Adova Occupies</w:t>
      </w:r>
    </w:p>
    <w:p>
      <w:pPr>
        <w:pStyle w:val="ListBullet"/>
        <w:spacing w:after="60"/>
      </w:pPr>
      <w:r>
        <w:t>[How Adova sits between expensive agencies and inaccessible DIY tools]</w:t>
      </w:r>
    </w:p>
    <w:p>
      <w:pPr>
        <w:pStyle w:val="ListBullet"/>
        <w:spacing w:after="60"/>
      </w:pPr>
      <w:r>
        <w:t>[Why now — market conditions, AI maturity, e-commerce growth]</w:t>
      </w:r>
    </w:p>
    <w:p>
      <w:pPr>
        <w:spacing w:after="40"/>
      </w:pPr>
    </w:p>
    <w:p>
      <w:pPr>
        <w:pStyle w:val="Heading1"/>
      </w:pPr>
      <w:r>
        <w:rPr>
          <w:color w:val="1B4F72"/>
          <w:sz w:val="30"/>
        </w:rPr>
        <w:t>Objectives</w:t>
      </w:r>
    </w:p>
    <w:p>
      <w:pPr>
        <w:pStyle w:val="Heading2"/>
      </w:pPr>
      <w:r>
        <w:rPr>
          <w:color w:val="2E86AB"/>
          <w:sz w:val="24"/>
        </w:rPr>
        <w:t>North Star Metric</w:t>
      </w:r>
    </w:p>
    <w:p>
      <w:pPr>
        <w:pStyle w:val="ListBullet"/>
        <w:spacing w:after="60"/>
      </w:pPr>
      <w:r>
        <w:t>[Metric name and definition]</w:t>
      </w:r>
    </w:p>
    <w:p>
      <w:pPr>
        <w:pStyle w:val="ListBullet"/>
        <w:spacing w:after="60"/>
      </w:pPr>
      <w:r>
        <w:t>[Why this metric was chosen over alternatives]</w:t>
      </w:r>
    </w:p>
    <w:p>
      <w:pPr>
        <w:pStyle w:val="Heading2"/>
      </w:pPr>
      <w:r>
        <w:rPr>
          <w:color w:val="2E86AB"/>
          <w:sz w:val="24"/>
        </w:rPr>
        <w:t>Supporting KPIs</w:t>
      </w:r>
    </w:p>
    <w:p>
      <w:pPr>
        <w:pStyle w:val="ListBullet"/>
        <w:spacing w:after="60"/>
      </w:pPr>
      <w:r>
        <w:t>KPI 1: [name and definition]</w:t>
      </w:r>
    </w:p>
    <w:p>
      <w:pPr>
        <w:pStyle w:val="ListBullet"/>
        <w:spacing w:after="60"/>
      </w:pPr>
      <w:r>
        <w:t>KPI 2: [name and definition]</w:t>
      </w:r>
    </w:p>
    <w:p>
      <w:pPr>
        <w:pStyle w:val="ListBullet"/>
        <w:spacing w:after="60"/>
      </w:pPr>
      <w:r>
        <w:t>KPI 3: [name and definition]</w:t>
      </w:r>
    </w:p>
    <w:p>
      <w:pPr>
        <w:pStyle w:val="Heading2"/>
      </w:pPr>
      <w:r>
        <w:rPr>
          <w:color w:val="2E86AB"/>
          <w:sz w:val="24"/>
        </w:rPr>
        <w:t>12-Month OKRs</w:t>
      </w:r>
    </w:p>
    <w:p>
      <w:pPr>
        <w:pStyle w:val="ListBullet"/>
        <w:spacing w:after="60"/>
      </w:pPr>
      <w:r>
        <w:t>O1: [Objective] — KR1 / KR2 / KR3</w:t>
      </w:r>
    </w:p>
    <w:p>
      <w:pPr>
        <w:pStyle w:val="ListBullet"/>
        <w:spacing w:after="60"/>
      </w:pPr>
      <w:r>
        <w:t>O2: [Objective] — KR1 / KR2 / KR3</w:t>
      </w:r>
    </w:p>
    <w:p>
      <w:pPr>
        <w:pStyle w:val="ListBullet"/>
        <w:spacing w:after="60"/>
      </w:pPr>
      <w:r>
        <w:t>O3: [Objective] — KR1 / KR2 / KR3</w:t>
      </w:r>
    </w:p>
    <w:p>
      <w:pPr>
        <w:pStyle w:val="ListBullet"/>
        <w:spacing w:after="60"/>
      </w:pPr>
      <w:r>
        <w:t>O4: [Objective] — KR1 / KR2 / KR3</w:t>
      </w:r>
    </w:p>
    <w:p>
      <w:r>
        <w:br w:type="page"/>
      </w:r>
    </w:p>
    <w:p>
      <w:pPr>
        <w:pStyle w:val="Heading1"/>
      </w:pPr>
      <w:r>
        <w:rPr>
          <w:color w:val="1B4F72"/>
          <w:sz w:val="30"/>
        </w:rPr>
        <w:t>Sales and Marketing Plan</w:t>
      </w:r>
    </w:p>
    <w:p>
      <w:pPr>
        <w:pStyle w:val="Heading2"/>
      </w:pPr>
      <w:r>
        <w:rPr>
          <w:color w:val="2E86AB"/>
          <w:sz w:val="24"/>
        </w:rPr>
        <w:t>Go-to-Market Strategy</w:t>
      </w:r>
    </w:p>
    <w:p>
      <w:pPr>
        <w:pStyle w:val="ListBullet"/>
        <w:spacing w:after="60"/>
      </w:pPr>
      <w:r>
        <w:t>Phase 1 — Direct Outreach (Months 1–3): [detail]</w:t>
      </w:r>
    </w:p>
    <w:p>
      <w:pPr>
        <w:pStyle w:val="ListBullet"/>
        <w:spacing w:after="60"/>
      </w:pPr>
      <w:r>
        <w:t>Phase 2 — Demo-Based Acquisition (Months 2–6): [detail]</w:t>
      </w:r>
    </w:p>
    <w:p>
      <w:pPr>
        <w:pStyle w:val="ListBullet"/>
        <w:spacing w:after="60"/>
      </w:pPr>
      <w:r>
        <w:t>Phase 3 — Pilot Projects (Months 1–6): [detail]</w:t>
      </w:r>
    </w:p>
    <w:p>
      <w:pPr>
        <w:pStyle w:val="ListBullet"/>
        <w:spacing w:after="60"/>
      </w:pPr>
      <w:r>
        <w:t>Phase 4 — Case Study-Driven Promotion (Months 4–12): [detail]</w:t>
      </w:r>
    </w:p>
    <w:p>
      <w:pPr>
        <w:pStyle w:val="Heading2"/>
      </w:pPr>
      <w:r>
        <w:rPr>
          <w:color w:val="2E86AB"/>
          <w:sz w:val="24"/>
        </w:rPr>
        <w:t>Founder-Led Sales Approach</w:t>
      </w:r>
    </w:p>
    <w:p>
      <w:pPr>
        <w:pStyle w:val="ListBullet"/>
        <w:spacing w:after="60"/>
      </w:pPr>
      <w:r>
        <w:t>[How the founding team runs early sales personally]</w:t>
      </w:r>
    </w:p>
    <w:p>
      <w:pPr>
        <w:pStyle w:val="ListBullet"/>
        <w:spacing w:after="60"/>
      </w:pPr>
      <w:r>
        <w:t>[When and how a sales function will be added]</w:t>
      </w:r>
    </w:p>
    <w:p>
      <w:pPr>
        <w:pStyle w:val="Heading2"/>
      </w:pPr>
      <w:r>
        <w:rPr>
          <w:color w:val="2E86AB"/>
          <w:sz w:val="24"/>
        </w:rPr>
        <w:t>Pricing Justification</w:t>
      </w:r>
    </w:p>
    <w:p>
      <w:pPr>
        <w:pStyle w:val="ListBullet"/>
        <w:spacing w:after="60"/>
      </w:pPr>
      <w:r>
        <w:t>Starter (pay-per-use): [what it replaces and why priced here]</w:t>
      </w:r>
    </w:p>
    <w:p>
      <w:pPr>
        <w:pStyle w:val="ListBullet"/>
        <w:spacing w:after="60"/>
      </w:pPr>
      <w:r>
        <w:t>Growth (£29/month, 10 pieces): [what it replaces and why priced here]</w:t>
      </w:r>
    </w:p>
    <w:p>
      <w:pPr>
        <w:pStyle w:val="ListBullet"/>
        <w:spacing w:after="60"/>
      </w:pPr>
      <w:r>
        <w:t>Scale (custom, unlimited): [what it replaces and why priced here]</w:t>
      </w:r>
    </w:p>
    <w:p>
      <w:pPr>
        <w:pStyle w:val="ListBullet"/>
        <w:spacing w:after="60"/>
      </w:pPr>
      <w:r>
        <w:t>[Comparison table placeholder — Adova vs agency vs freelancer vs raw AI]</w:t>
      </w:r>
    </w:p>
    <w:p>
      <w:pPr>
        <w:spacing w:after="40"/>
      </w:pPr>
    </w:p>
    <w:p>
      <w:pPr>
        <w:pStyle w:val="Heading1"/>
      </w:pPr>
      <w:r>
        <w:rPr>
          <w:color w:val="1B4F72"/>
          <w:sz w:val="30"/>
        </w:rPr>
        <w:t>Market Analysis</w:t>
      </w:r>
    </w:p>
    <w:p>
      <w:pPr>
        <w:pStyle w:val="Heading2"/>
      </w:pPr>
      <w:r>
        <w:rPr>
          <w:color w:val="2E86AB"/>
          <w:sz w:val="24"/>
        </w:rPr>
        <w:t>Market Size: TAM / SAM / SOM</w:t>
      </w:r>
    </w:p>
    <w:p>
      <w:pPr>
        <w:pStyle w:val="ListBullet"/>
        <w:spacing w:after="60"/>
      </w:pPr>
      <w:r>
        <w:t>TAM: [global SME figure and estimated marketing spend]</w:t>
      </w:r>
    </w:p>
    <w:p>
      <w:pPr>
        <w:pStyle w:val="ListBullet"/>
        <w:spacing w:after="60"/>
      </w:pPr>
      <w:r>
        <w:t>SAM: [UK + EU focus and serviceable segment]</w:t>
      </w:r>
    </w:p>
    <w:p>
      <w:pPr>
        <w:pStyle w:val="ListBullet"/>
        <w:spacing w:after="60"/>
      </w:pPr>
      <w:r>
        <w:t>SOM: [realistic capture in Years 1–3]</w:t>
      </w:r>
    </w:p>
    <w:p>
      <w:pPr>
        <w:pStyle w:val="ListBullet"/>
        <w:spacing w:after="60"/>
      </w:pPr>
      <w:r>
        <w:t>Note: all figures are estimates — [label assumptions]</w:t>
      </w:r>
    </w:p>
    <w:p>
      <w:pPr>
        <w:pStyle w:val="Heading2"/>
      </w:pPr>
      <w:r>
        <w:rPr>
          <w:color w:val="2E86AB"/>
          <w:sz w:val="24"/>
        </w:rPr>
        <w:t>SWOT Analysis</w:t>
      </w:r>
    </w:p>
    <w:p>
      <w:pPr>
        <w:pStyle w:val="ListBullet"/>
        <w:spacing w:after="60"/>
      </w:pPr>
      <w:r>
        <w:t>Strengths: [list]</w:t>
      </w:r>
    </w:p>
    <w:p>
      <w:pPr>
        <w:pStyle w:val="ListBullet"/>
        <w:spacing w:after="60"/>
      </w:pPr>
      <w:r>
        <w:t>Weaknesses: [list]</w:t>
      </w:r>
    </w:p>
    <w:p>
      <w:pPr>
        <w:pStyle w:val="ListBullet"/>
        <w:spacing w:after="60"/>
      </w:pPr>
      <w:r>
        <w:t>Opportunities: [list]</w:t>
      </w:r>
    </w:p>
    <w:p>
      <w:pPr>
        <w:pStyle w:val="ListBullet"/>
        <w:spacing w:after="60"/>
      </w:pPr>
      <w:r>
        <w:t>Threats: [list]</w:t>
      </w:r>
    </w:p>
    <w:p>
      <w:pPr>
        <w:pStyle w:val="Heading2"/>
      </w:pPr>
      <w:r>
        <w:rPr>
          <w:color w:val="2E86AB"/>
          <w:sz w:val="24"/>
        </w:rPr>
        <w:t>Competitor Analysis</w:t>
      </w:r>
    </w:p>
    <w:p>
      <w:pPr>
        <w:pStyle w:val="ListBullet"/>
        <w:spacing w:after="60"/>
      </w:pPr>
      <w:r>
        <w:t>[Table placeholder: Adova vs Traditional Agency vs Freelancer vs Generic AI tools]</w:t>
      </w:r>
    </w:p>
    <w:p>
      <w:pPr>
        <w:pStyle w:val="ListBullet"/>
        <w:spacing w:after="60"/>
      </w:pPr>
      <w:r>
        <w:t>[Highlight the gap in the middle Adova occupies]</w:t>
      </w:r>
    </w:p>
    <w:p>
      <w:r>
        <w:br w:type="page"/>
      </w:r>
    </w:p>
    <w:p>
      <w:pPr>
        <w:pStyle w:val="Heading1"/>
      </w:pPr>
      <w:r>
        <w:rPr>
          <w:color w:val="1B4F72"/>
          <w:sz w:val="30"/>
        </w:rPr>
        <w:t>Strategic Management Plan</w:t>
      </w:r>
    </w:p>
    <w:p>
      <w:pPr>
        <w:pStyle w:val="Heading2"/>
      </w:pPr>
      <w:r>
        <w:rPr>
          <w:color w:val="2E86AB"/>
          <w:sz w:val="24"/>
        </w:rPr>
        <w:t>Vision and Mission</w:t>
      </w:r>
    </w:p>
    <w:p>
      <w:pPr>
        <w:pStyle w:val="ListBullet"/>
        <w:spacing w:after="60"/>
      </w:pPr>
      <w:r>
        <w:t>Vision: [one sentence]</w:t>
      </w:r>
    </w:p>
    <w:p>
      <w:pPr>
        <w:pStyle w:val="ListBullet"/>
        <w:spacing w:after="60"/>
      </w:pPr>
      <w:r>
        <w:t>Mission: [one sentence]</w:t>
      </w:r>
    </w:p>
    <w:p>
      <w:pPr>
        <w:pStyle w:val="Heading2"/>
      </w:pPr>
      <w:r>
        <w:rPr>
          <w:color w:val="2E86AB"/>
          <w:sz w:val="24"/>
        </w:rPr>
        <w:t>Core Competencies</w:t>
      </w:r>
    </w:p>
    <w:p>
      <w:pPr>
        <w:pStyle w:val="ListBullet"/>
        <w:spacing w:after="60"/>
      </w:pPr>
      <w:r>
        <w:t>1. [Competency name]: [description]</w:t>
      </w:r>
    </w:p>
    <w:p>
      <w:pPr>
        <w:pStyle w:val="ListBullet"/>
        <w:spacing w:after="60"/>
      </w:pPr>
      <w:r>
        <w:t>2. [Competency name]: [description]</w:t>
      </w:r>
    </w:p>
    <w:p>
      <w:pPr>
        <w:pStyle w:val="ListBullet"/>
        <w:spacing w:after="60"/>
      </w:pPr>
      <w:r>
        <w:t>3. [Competency name]: [description]</w:t>
      </w:r>
    </w:p>
    <w:p>
      <w:pPr>
        <w:pStyle w:val="ListBullet"/>
        <w:spacing w:after="60"/>
      </w:pPr>
      <w:r>
        <w:t>4. [Competency name]: [description]</w:t>
      </w:r>
    </w:p>
    <w:p>
      <w:pPr>
        <w:pStyle w:val="Heading2"/>
      </w:pPr>
      <w:r>
        <w:rPr>
          <w:color w:val="2E86AB"/>
          <w:sz w:val="24"/>
        </w:rPr>
        <w:t>Desired Outcomes by Phase</w:t>
      </w:r>
    </w:p>
    <w:p>
      <w:pPr>
        <w:pStyle w:val="ListBullet"/>
        <w:spacing w:after="60"/>
      </w:pPr>
      <w:r>
        <w:t>Phase 1 — Service (Months 1–12): [outcomes]</w:t>
      </w:r>
    </w:p>
    <w:p>
      <w:pPr>
        <w:pStyle w:val="ListBullet"/>
        <w:spacing w:after="60"/>
      </w:pPr>
      <w:r>
        <w:t>Phase 2 — Product (Months 13–24): [outcomes]</w:t>
      </w:r>
    </w:p>
    <w:p>
      <w:pPr>
        <w:pStyle w:val="ListBullet"/>
        <w:spacing w:after="60"/>
      </w:pPr>
      <w:r>
        <w:t>Phase 3 — Platform (Months 25–36+): [outcomes]</w:t>
      </w:r>
    </w:p>
    <w:p>
      <w:pPr>
        <w:pStyle w:val="Heading2"/>
      </w:pPr>
      <w:r>
        <w:rPr>
          <w:color w:val="2E86AB"/>
          <w:sz w:val="24"/>
        </w:rPr>
        <w:t>Strategic Frameworks</w:t>
      </w:r>
    </w:p>
    <w:p>
      <w:pPr>
        <w:pStyle w:val="ListBullet"/>
        <w:spacing w:after="60"/>
      </w:pPr>
      <w:r>
        <w:t>Jobs-to-be-Done: [how applied]</w:t>
      </w:r>
    </w:p>
    <w:p>
      <w:pPr>
        <w:pStyle w:val="ListBullet"/>
        <w:spacing w:after="60"/>
      </w:pPr>
      <w:r>
        <w:t>Lean Validation Loops: [how applied]</w:t>
      </w:r>
    </w:p>
    <w:p>
      <w:pPr>
        <w:pStyle w:val="ListBullet"/>
        <w:spacing w:after="60"/>
      </w:pPr>
      <w:r>
        <w:t>OKR Framework: [how applied]</w:t>
      </w:r>
    </w:p>
    <w:p>
      <w:pPr>
        <w:pStyle w:val="ListBullet"/>
        <w:spacing w:after="60"/>
      </w:pPr>
      <w:r>
        <w:t>Service Blueprint: [how applied]</w:t>
      </w:r>
    </w:p>
    <w:p>
      <w:pPr>
        <w:pStyle w:val="Heading2"/>
      </w:pPr>
      <w:r>
        <w:rPr>
          <w:color w:val="2E86AB"/>
          <w:sz w:val="24"/>
        </w:rPr>
        <w:t>KPIs by Phase</w:t>
      </w:r>
    </w:p>
    <w:p>
      <w:pPr>
        <w:pStyle w:val="ListBullet"/>
        <w:spacing w:after="60"/>
      </w:pPr>
      <w:r>
        <w:t>[Table placeholder: KPI × Phase 1 / Phase 2 / Phase 3]</w:t>
      </w:r>
    </w:p>
    <w:p>
      <w:pPr>
        <w:pStyle w:val="Heading2"/>
      </w:pPr>
      <w:r>
        <w:rPr>
          <w:color w:val="2E86AB"/>
          <w:sz w:val="24"/>
        </w:rPr>
        <w:t>RACI Matrix</w:t>
      </w:r>
    </w:p>
    <w:p>
      <w:pPr>
        <w:pStyle w:val="ListBullet"/>
        <w:spacing w:after="60"/>
      </w:pPr>
      <w:r>
        <w:t>[Table placeholder: Activity × Founding Team / AI System / Human Review / Client]</w:t>
      </w:r>
    </w:p>
    <w:p>
      <w:pPr>
        <w:pStyle w:val="ListBullet"/>
        <w:spacing w:after="60"/>
      </w:pPr>
      <w:r>
        <w:t>Key: R = Responsible | A = Accountable | C = Consulted | I = Informed</w:t>
      </w:r>
    </w:p>
    <w:p>
      <w:r>
        <w:br w:type="page"/>
      </w:r>
    </w:p>
    <w:p>
      <w:pPr>
        <w:pStyle w:val="Heading1"/>
      </w:pPr>
      <w:r>
        <w:rPr>
          <w:color w:val="1B4F72"/>
          <w:sz w:val="30"/>
        </w:rPr>
        <w:t>Financial Projections (Years 1–5)</w:t>
      </w:r>
    </w:p>
    <w:p>
      <w:pPr>
        <w:pStyle w:val="Heading2"/>
      </w:pPr>
      <w:r>
        <w:rPr>
          <w:color w:val="2E86AB"/>
          <w:sz w:val="24"/>
        </w:rPr>
        <w:t>Revenue and Cost Projections</w:t>
      </w:r>
    </w:p>
    <w:p>
      <w:pPr>
        <w:pStyle w:val="ListBullet"/>
        <w:spacing w:after="60"/>
      </w:pPr>
      <w:r>
        <w:t>[Table placeholder: rows = revenue lines + cost lines + profit; cols = Year 1–5]</w:t>
      </w:r>
    </w:p>
    <w:p>
      <w:pPr>
        <w:pStyle w:val="ListBullet"/>
        <w:spacing w:after="60"/>
      </w:pPr>
      <w:r>
        <w:t>Revenue lines: Starter, Growth subscriptions, Scale</w:t>
      </w:r>
    </w:p>
    <w:p>
      <w:pPr>
        <w:pStyle w:val="ListBullet"/>
        <w:spacing w:after="60"/>
      </w:pPr>
      <w:r>
        <w:t>Cost lines: AI infrastructure, human review, platform dev, customer acquisition, operations</w:t>
      </w:r>
    </w:p>
    <w:p>
      <w:pPr>
        <w:pStyle w:val="ListBullet"/>
        <w:spacing w:after="60"/>
      </w:pPr>
      <w:r>
        <w:t>Bottom line: operating profit / (loss) per year</w:t>
      </w:r>
    </w:p>
    <w:p>
      <w:pPr>
        <w:pStyle w:val="Heading2"/>
      </w:pPr>
      <w:r>
        <w:rPr>
          <w:color w:val="2E86AB"/>
          <w:sz w:val="24"/>
        </w:rPr>
        <w:t>Assumption Justification</w:t>
      </w:r>
    </w:p>
    <w:p>
      <w:pPr>
        <w:pStyle w:val="ListBullet"/>
        <w:spacing w:after="60"/>
      </w:pPr>
      <w:r>
        <w:t>Client growth curve: [basis for Year 1–5 client count assumptions]</w:t>
      </w:r>
    </w:p>
    <w:p>
      <w:pPr>
        <w:pStyle w:val="ListBullet"/>
        <w:spacing w:after="60"/>
      </w:pPr>
      <w:r>
        <w:t>Scale tier pricing: [assumption — custom pricing estimated at £X/month]</w:t>
      </w:r>
    </w:p>
    <w:p>
      <w:pPr>
        <w:pStyle w:val="ListBullet"/>
        <w:spacing w:after="60"/>
      </w:pPr>
      <w:r>
        <w:t>Starter average transaction: [assumption — estimated at £X per request]</w:t>
      </w:r>
    </w:p>
    <w:p>
      <w:pPr>
        <w:pStyle w:val="ListBullet"/>
        <w:spacing w:after="60"/>
      </w:pPr>
      <w:r>
        <w:t>Human review team cost: [assumption — X part-time reviewers at £X/month]</w:t>
      </w:r>
    </w:p>
    <w:p>
      <w:pPr>
        <w:pStyle w:val="ListBullet"/>
        <w:spacing w:after="60"/>
      </w:pPr>
      <w:r>
        <w:t>AI infrastructure cost: [assumption — scales with usage volume]</w:t>
      </w:r>
    </w:p>
    <w:p>
      <w:pPr>
        <w:pStyle w:val="ListBullet"/>
        <w:spacing w:after="60"/>
      </w:pPr>
      <w:r>
        <w:t>Customer acquisition cost: [assumption — estimated as X% of revenue]</w:t>
      </w:r>
    </w:p>
    <w:p>
      <w:pPr>
        <w:pStyle w:val="ListBullet"/>
        <w:spacing w:after="60"/>
      </w:pPr>
      <w:r>
        <w:t>Break-even: [projected at Month X — basis for assumption]</w:t>
      </w:r>
    </w:p>
    <w:p>
      <w:pPr>
        <w:spacing w:after="40"/>
      </w:pPr>
    </w:p>
    <w:p>
      <w:pPr>
        <w:pStyle w:val="Heading1"/>
      </w:pPr>
      <w:r>
        <w:rPr>
          <w:color w:val="1B4F72"/>
          <w:sz w:val="30"/>
        </w:rPr>
        <w:t>Appendix — Business Model Canvas</w:t>
      </w:r>
    </w:p>
    <w:p>
      <w:pPr>
        <w:pStyle w:val="Heading2"/>
      </w:pPr>
      <w:r>
        <w:rPr>
          <w:color w:val="2E86AB"/>
          <w:sz w:val="24"/>
        </w:rPr>
        <w:t>Business Model Canvas: Adova</w:t>
      </w:r>
    </w:p>
    <w:p>
      <w:pPr>
        <w:pStyle w:val="ListBullet"/>
        <w:spacing w:after="60"/>
      </w:pPr>
      <w:r>
        <w:t>[Full BMC table placeholder — 9 blocks]</w:t>
      </w:r>
    </w:p>
    <w:p>
      <w:pPr>
        <w:pStyle w:val="ListBullet"/>
        <w:spacing w:after="60"/>
      </w:pPr>
      <w:r>
        <w:t>Key Partners: [AI API providers, e-commerce platforms, human review contractors, trade associations]</w:t>
      </w:r>
    </w:p>
    <w:p>
      <w:pPr>
        <w:pStyle w:val="ListBullet"/>
        <w:spacing w:after="60"/>
      </w:pPr>
      <w:r>
        <w:t>Key Activities: [content generation, quality review, client onboarding, platform development, sales]</w:t>
      </w:r>
    </w:p>
    <w:p>
      <w:pPr>
        <w:pStyle w:val="ListBullet"/>
        <w:spacing w:after="60"/>
      </w:pPr>
      <w:r>
        <w:t>Key Resources: [AI technology, domain knowledge, human review team, brand reputation]</w:t>
      </w:r>
    </w:p>
    <w:p>
      <w:pPr>
        <w:pStyle w:val="ListBullet"/>
        <w:spacing w:after="60"/>
      </w:pPr>
      <w:r>
        <w:t>Value Propositions: [professional marketing at SME prices, no learning curve, 5× faster, human-reviewed quality]</w:t>
      </w:r>
    </w:p>
    <w:p>
      <w:pPr>
        <w:pStyle w:val="ListBullet"/>
        <w:spacing w:after="60"/>
      </w:pPr>
      <w:r>
        <w:t>Customer Relationships: [managed service (Phase 1), self-service with support (Phase 3)]</w:t>
      </w:r>
    </w:p>
    <w:p>
      <w:pPr>
        <w:pStyle w:val="ListBullet"/>
        <w:spacing w:after="60"/>
      </w:pPr>
      <w:r>
        <w:t>Channels: [direct outreach, LinkedIn, trade associations, referrals, e-commerce platform integrations]</w:t>
      </w:r>
    </w:p>
    <w:p>
      <w:pPr>
        <w:pStyle w:val="ListBullet"/>
        <w:spacing w:after="60"/>
      </w:pPr>
      <w:r>
        <w:t>Customer Segments: [small manufacturers, workshop/makers, solo e-commerce sellers, export businesses]</w:t>
      </w:r>
    </w:p>
    <w:p>
      <w:pPr>
        <w:pStyle w:val="ListBullet"/>
        <w:spacing w:after="60"/>
      </w:pPr>
      <w:r>
        <w:t>Cost Structure: [AI infrastructure, human review team, platform development, sales and marketing]</w:t>
      </w:r>
    </w:p>
    <w:p>
      <w:pPr>
        <w:pStyle w:val="ListBullet"/>
        <w:spacing w:after="60"/>
      </w:pPr>
      <w:r>
        <w:t>Revenue Streams: [pay-per-use fees, monthly subscriptions (£29–custom), enterprise contracts]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