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31DA9A18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FLENET Matthew, BORIBOUN STEVEN, Enet florian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86387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86387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31DA9A18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FLENET Matthew, BORIBOUN STEVEN, Enet florian</w:t>
                              </w:r>
                            </w:p>
                          </w:sdtContent>
                        </w:sdt>
                        <w:p w14:paraId="39789DEB" w14:textId="5AF52A2E" w:rsidR="000F2EC0" w:rsidRDefault="0086387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86387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86387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863873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863873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863873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863873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863873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863873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863873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863873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863873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863873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5D79F46C" w14:textId="6E0A901F" w:rsidR="0005169F" w:rsidRPr="0005169F" w:rsidRDefault="189001E9" w:rsidP="0005169F">
      <w:pPr>
        <w:pStyle w:val="Titre2"/>
      </w:pPr>
      <w:bookmarkStart w:id="4" w:name="_Toc30148977"/>
      <w:r>
        <w:t>1</w:t>
      </w:r>
      <w:r w:rsidR="00CE7CB3">
        <w:t>.5</w:t>
      </w:r>
      <w:r>
        <w:t xml:space="preserve"> Afficheur</w:t>
      </w:r>
      <w:bookmarkEnd w:id="4"/>
    </w:p>
    <w:p w14:paraId="62F202B9" w14:textId="11797471" w:rsidR="0069159D" w:rsidRDefault="007217FC" w:rsidP="0069159D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</w:t>
      </w:r>
      <w:r w:rsidR="009F2017">
        <w:t>à</w:t>
      </w:r>
      <w:r>
        <w:t xml:space="preserve"> l’entrée de la chambre froide nous donnant toutes les informations que l’on souhaite</w:t>
      </w:r>
    </w:p>
    <w:p w14:paraId="65628B20" w14:textId="2BF2A320" w:rsidR="00D07E61" w:rsidRPr="009F2017" w:rsidRDefault="007217FC" w:rsidP="009F2017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</w:t>
      </w:r>
      <w:r w:rsidR="009F2017">
        <w:t>à</w:t>
      </w:r>
      <w:r>
        <w:t xml:space="preserve"> choisir devront respecter ces conditions :</w:t>
      </w:r>
    </w:p>
    <w:p w14:paraId="108029B4" w14:textId="600673F4" w:rsidR="00D07E61" w:rsidRDefault="00D07E61" w:rsidP="00D07E61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1FCC95D7" w14:textId="4A4BFBC4" w:rsidR="00D07E61" w:rsidRDefault="00D07E61" w:rsidP="00D07E61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069D1C78" w14:textId="1668DCEB" w:rsidR="00D07E61" w:rsidRDefault="00D07E61" w:rsidP="00D07E61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4FEFD220" w14:textId="2FEA4B00" w:rsidR="009F2017" w:rsidRDefault="009F2017" w:rsidP="00D07E61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459E662" w14:textId="1210FF29" w:rsidR="00D07E61" w:rsidRDefault="00D07E61" w:rsidP="00D07E61">
      <w:r>
        <w:t xml:space="preserve">Les deux </w:t>
      </w:r>
      <w:r w:rsidR="00846A06">
        <w:t>afficheurs</w:t>
      </w:r>
      <w:r>
        <w:t xml:space="preserve"> à nos dispositions sont les suivants :</w:t>
      </w:r>
    </w:p>
    <w:p w14:paraId="17E81FAF" w14:textId="153D2D84" w:rsidR="00D07E61" w:rsidRDefault="003259D8" w:rsidP="00D07E61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3F144D7F" w14:textId="31A83E77" w:rsidR="00D07E61" w:rsidRDefault="003259D8" w:rsidP="00D07E61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08EDE193" w14:textId="77777777" w:rsidR="00D07E61" w:rsidRDefault="00D07E61" w:rsidP="00D07E61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28F36F1D" w14:textId="77777777" w:rsidR="00D07E61" w:rsidRDefault="00D07E61" w:rsidP="00D07E61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378A55A7" w14:textId="71F8AF30" w:rsidR="00D07E61" w:rsidRPr="007217FC" w:rsidRDefault="00D07E61" w:rsidP="0C5AAE81">
      <w:r>
        <w:t xml:space="preserve">Veuillez trouver ci-dessous un comparatif des caractéristiques de chacun des </w:t>
      </w:r>
      <w:r w:rsidR="0018429B">
        <w:t>afficheurs</w:t>
      </w:r>
      <w:r>
        <w:t xml:space="preserve">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7F5156" w14:paraId="120C3E22" w14:textId="77777777" w:rsidTr="00E00A4D">
        <w:trPr>
          <w:jc w:val="center"/>
        </w:trPr>
        <w:tc>
          <w:tcPr>
            <w:tcW w:w="2689" w:type="dxa"/>
          </w:tcPr>
          <w:p w14:paraId="1A1D7CE4" w14:textId="77777777" w:rsidR="007F5156" w:rsidRDefault="007F5156" w:rsidP="007F5156"/>
        </w:tc>
        <w:tc>
          <w:tcPr>
            <w:tcW w:w="2121" w:type="dxa"/>
          </w:tcPr>
          <w:p w14:paraId="784D01AE" w14:textId="24F62E32" w:rsidR="007F5156" w:rsidRPr="007217FC" w:rsidRDefault="007F5156" w:rsidP="00E00A4D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3D465BA9" w14:textId="2DE175DA" w:rsidR="007F5156" w:rsidRPr="007217FC" w:rsidRDefault="007F5156" w:rsidP="00846A06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4F372827" w14:textId="77777777" w:rsidR="007F5156" w:rsidRDefault="007F5156" w:rsidP="00846A06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846A06" w14:paraId="0A9B80B7" w14:textId="77777777" w:rsidTr="00E00A4D">
        <w:trPr>
          <w:trHeight w:val="770"/>
          <w:jc w:val="center"/>
        </w:trPr>
        <w:tc>
          <w:tcPr>
            <w:tcW w:w="2689" w:type="dxa"/>
          </w:tcPr>
          <w:p w14:paraId="7AB84948" w14:textId="2590B939" w:rsidR="00846A06" w:rsidRDefault="00846A06" w:rsidP="00846A06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0AE0526F" w14:textId="7225668D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t xml:space="preserve">Avec la </w:t>
            </w:r>
            <w:r w:rsidR="00683F25">
              <w:t>Raspberry (</w:t>
            </w:r>
            <w:r>
              <w:t>3 à 5,5V)</w:t>
            </w:r>
          </w:p>
        </w:tc>
        <w:tc>
          <w:tcPr>
            <w:tcW w:w="2273" w:type="dxa"/>
          </w:tcPr>
          <w:p w14:paraId="5AC728CA" w14:textId="027057F8" w:rsidR="00846A06" w:rsidRDefault="00846A06" w:rsidP="00846A06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2574BDA1" w14:textId="2C55435F" w:rsidR="00846A06" w:rsidRDefault="00E00A4D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29EF1AFF" w14:textId="77777777" w:rsidTr="00E00A4D">
        <w:trPr>
          <w:jc w:val="center"/>
        </w:trPr>
        <w:tc>
          <w:tcPr>
            <w:tcW w:w="2689" w:type="dxa"/>
          </w:tcPr>
          <w:p w14:paraId="0AA59AF1" w14:textId="28637724" w:rsidR="00846A06" w:rsidRDefault="00846A06" w:rsidP="00846A06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E35B458" w14:textId="2EAB0099" w:rsidR="00846A06" w:rsidRPr="6EF1A543" w:rsidRDefault="00846A06" w:rsidP="00846A06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D544E90" w14:textId="495562FF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6656C5CC" w14:textId="34D22792" w:rsidR="00846A06" w:rsidRDefault="00E00A4D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39B76374" w14:textId="77777777" w:rsidTr="00E00A4D">
        <w:trPr>
          <w:jc w:val="center"/>
        </w:trPr>
        <w:tc>
          <w:tcPr>
            <w:tcW w:w="2689" w:type="dxa"/>
          </w:tcPr>
          <w:p w14:paraId="54EB7417" w14:textId="35D18171" w:rsidR="00846A06" w:rsidRDefault="00846A06" w:rsidP="00846A06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67D16CD2" w14:textId="0EA3A1C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6848A5A7" w14:textId="2D669181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4607F10D" w14:textId="5074CC43" w:rsidR="00846A06" w:rsidRDefault="00846A06" w:rsidP="00846A06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846A06" w14:paraId="367A35F9" w14:textId="77777777" w:rsidTr="00E00A4D">
        <w:trPr>
          <w:trHeight w:val="452"/>
          <w:jc w:val="center"/>
        </w:trPr>
        <w:tc>
          <w:tcPr>
            <w:tcW w:w="2689" w:type="dxa"/>
          </w:tcPr>
          <w:p w14:paraId="4B6F29EA" w14:textId="55BA4621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02A7C882" w14:textId="2624524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79C3D62D" w14:textId="1B427BDE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68FC69F8" w14:textId="55AFABDE" w:rsidR="00846A06" w:rsidRDefault="00E00A4D" w:rsidP="00846A06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397C97BB" w14:textId="77777777" w:rsidTr="00E00A4D">
        <w:trPr>
          <w:jc w:val="center"/>
        </w:trPr>
        <w:tc>
          <w:tcPr>
            <w:tcW w:w="2689" w:type="dxa"/>
          </w:tcPr>
          <w:p w14:paraId="097553FF" w14:textId="57B15B5C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75241C80" w14:textId="758001FE" w:rsidR="00846A06" w:rsidRDefault="00846A06" w:rsidP="00846A06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0566438E" w14:textId="2C0AEB72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3F3A452D" w14:textId="75B7D3D1" w:rsidR="00846A06" w:rsidRDefault="00846A06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846A06" w14:paraId="6B90F13D" w14:textId="77777777" w:rsidTr="00E00A4D">
        <w:trPr>
          <w:jc w:val="center"/>
        </w:trPr>
        <w:tc>
          <w:tcPr>
            <w:tcW w:w="2689" w:type="dxa"/>
          </w:tcPr>
          <w:p w14:paraId="7BD5A63D" w14:textId="721AB348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E577309" w14:textId="5F8C3F62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0BE50A4C" w14:textId="7BC7A8EA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6CC8B9E8" w14:textId="5CB820DA" w:rsidR="00846A06" w:rsidRDefault="00846A06" w:rsidP="00846A06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846A06" w14:paraId="46C7035A" w14:textId="77777777" w:rsidTr="00E00A4D">
        <w:trPr>
          <w:jc w:val="center"/>
        </w:trPr>
        <w:tc>
          <w:tcPr>
            <w:tcW w:w="2689" w:type="dxa"/>
          </w:tcPr>
          <w:p w14:paraId="430E8151" w14:textId="30C83371" w:rsidR="00846A06" w:rsidRDefault="00846A06" w:rsidP="00846A06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1E83D014" w14:textId="69FF13E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41D245F7" w14:textId="20C4FF45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3AD2DF23" w14:textId="6355157D" w:rsidR="00846A06" w:rsidRPr="00846A06" w:rsidRDefault="00E00A4D" w:rsidP="00846A06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47F62FA3" w14:textId="0186DAD9" w:rsidR="00F57D41" w:rsidRDefault="00CD174A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 w:rsidR="006158BF">
        <w:rPr>
          <w:rFonts w:eastAsia="Calibri" w:cs="Calibri"/>
        </w:rPr>
        <w:t xml:space="preserve"> De plus sa </w:t>
      </w:r>
      <w:r w:rsidR="006158BF" w:rsidRPr="00F2176E">
        <w:rPr>
          <w:rFonts w:eastAsia="Calibri" w:cs="Calibri"/>
          <w:b/>
          <w:bCs/>
        </w:rPr>
        <w:t>connectique</w:t>
      </w:r>
      <w:r w:rsidR="006158BF">
        <w:rPr>
          <w:rFonts w:eastAsia="Calibri" w:cs="Calibri"/>
        </w:rPr>
        <w:t xml:space="preserve"> est plus adaptée dans notre contexte</w:t>
      </w:r>
      <w:r w:rsidR="00F2176E">
        <w:rPr>
          <w:rFonts w:eastAsia="Calibri" w:cs="Calibri"/>
        </w:rPr>
        <w:t>.</w:t>
      </w:r>
    </w:p>
    <w:p w14:paraId="5286383B" w14:textId="6F7722C0" w:rsidR="00F57D41" w:rsidRDefault="00821B85" w:rsidP="008C59A1">
      <w:pPr>
        <w:pStyle w:val="Titre1"/>
      </w:pPr>
      <w:bookmarkStart w:id="5" w:name="_Toc30148978"/>
      <w:r>
        <w:t xml:space="preserve">2 - </w:t>
      </w:r>
      <w:r w:rsidR="008C59A1">
        <w:t>L’ana</w:t>
      </w:r>
      <w:r>
        <w:t>lyse</w:t>
      </w:r>
      <w:bookmarkEnd w:id="5"/>
    </w:p>
    <w:p w14:paraId="0228120B" w14:textId="60329A14" w:rsidR="00F57D41" w:rsidRDefault="005C049C" w:rsidP="005C049C">
      <w:pPr>
        <w:pStyle w:val="Titre2"/>
      </w:pPr>
      <w:bookmarkStart w:id="6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6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7" w:name="_Toc30148980"/>
      <w:r>
        <w:lastRenderedPageBreak/>
        <w:t>2.2 Les diagrammes de séquences</w:t>
      </w:r>
      <w:bookmarkEnd w:id="7"/>
    </w:p>
    <w:p w14:paraId="0A3ADD38" w14:textId="0F45525B" w:rsidR="00AC27C8" w:rsidRDefault="00AC27C8" w:rsidP="00AC27C8"/>
    <w:p w14:paraId="717534EE" w14:textId="58D00124" w:rsidR="00AC27C8" w:rsidRPr="00AC27C8" w:rsidRDefault="00AC27C8" w:rsidP="00AC27C8"/>
    <w:p w14:paraId="20ABEC53" w14:textId="11C5CE6E" w:rsidR="000E5BF8" w:rsidRPr="000E5BF8" w:rsidRDefault="00E34522" w:rsidP="000E5BF8">
      <w:r>
        <w:rPr>
          <w:noProof/>
        </w:rPr>
        <w:drawing>
          <wp:anchor distT="0" distB="0" distL="114300" distR="114300" simplePos="0" relativeHeight="251664384" behindDoc="0" locked="0" layoutInCell="1" allowOverlap="1" wp14:anchorId="7396C1F4" wp14:editId="6A07B715">
            <wp:simplePos x="0" y="0"/>
            <wp:positionH relativeFrom="column">
              <wp:posOffset>-62865</wp:posOffset>
            </wp:positionH>
            <wp:positionV relativeFrom="paragraph">
              <wp:posOffset>4067810</wp:posOffset>
            </wp:positionV>
            <wp:extent cx="5821045" cy="3508375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ibilité par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A1A8A" wp14:editId="2F33F5A6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819140" cy="3834130"/>
            <wp:effectExtent l="0" t="0" r="0" b="0"/>
            <wp:wrapSquare wrapText="bothSides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ibilité part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/>
                    <a:stretch/>
                  </pic:blipFill>
                  <pic:spPr bwMode="auto">
                    <a:xfrm>
                      <a:off x="0" y="0"/>
                      <a:ext cx="5819140" cy="383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4E80B" w14:textId="114AFC48" w:rsidR="00F57D41" w:rsidRDefault="00F57D41"/>
    <w:p w14:paraId="127E325D" w14:textId="77777777" w:rsidR="00E34522" w:rsidRDefault="00E34522"/>
    <w:p w14:paraId="64FE2022" w14:textId="77777777" w:rsidR="00E34522" w:rsidRDefault="00E34522"/>
    <w:p w14:paraId="2BFD834C" w14:textId="04239AE3" w:rsidR="00F57D41" w:rsidRDefault="00E34522">
      <w:r>
        <w:rPr>
          <w:noProof/>
        </w:rPr>
        <w:drawing>
          <wp:anchor distT="0" distB="0" distL="114300" distR="114300" simplePos="0" relativeHeight="251666432" behindDoc="0" locked="0" layoutInCell="1" allowOverlap="1" wp14:anchorId="2356C1F5" wp14:editId="562AA87A">
            <wp:simplePos x="0" y="0"/>
            <wp:positionH relativeFrom="margin">
              <wp:posOffset>-473</wp:posOffset>
            </wp:positionH>
            <wp:positionV relativeFrom="paragraph">
              <wp:posOffset>4523105</wp:posOffset>
            </wp:positionV>
            <wp:extent cx="5624195" cy="3274060"/>
            <wp:effectExtent l="0" t="0" r="0" b="2540"/>
            <wp:wrapSquare wrapText="bothSides"/>
            <wp:docPr id="6" name="Image 6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ibilité part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B086949" wp14:editId="5B40EB3B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5759450" cy="4088130"/>
            <wp:effectExtent l="0" t="0" r="0" b="7620"/>
            <wp:wrapSquare wrapText="bothSides"/>
            <wp:docPr id="4" name="Image 4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ibilité par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95A4F" w14:textId="3A820F2B" w:rsidR="00AC27C8" w:rsidRDefault="00AC27C8"/>
    <w:p w14:paraId="7A35DE6C" w14:textId="03568D87" w:rsidR="00E34522" w:rsidRDefault="00E34522"/>
    <w:p w14:paraId="37A2D067" w14:textId="4E0DA1E8" w:rsidR="00F57D41" w:rsidRDefault="00F57D41"/>
    <w:p w14:paraId="7C21D86E" w14:textId="597FDE83" w:rsidR="00F57D41" w:rsidRDefault="00F57D41">
      <w:bookmarkStart w:id="8" w:name="_GoBack"/>
      <w:bookmarkEnd w:id="8"/>
    </w:p>
    <w:p w14:paraId="3978EC12" w14:textId="2B09CF6F" w:rsidR="00F57D41" w:rsidRDefault="00863873">
      <w:r>
        <w:rPr>
          <w:noProof/>
        </w:rPr>
        <w:drawing>
          <wp:anchor distT="0" distB="0" distL="114300" distR="114300" simplePos="0" relativeHeight="251667456" behindDoc="0" locked="0" layoutInCell="1" allowOverlap="1" wp14:anchorId="3EF310D2" wp14:editId="36CF2531">
            <wp:simplePos x="0" y="0"/>
            <wp:positionH relativeFrom="margin">
              <wp:align>center</wp:align>
            </wp:positionH>
            <wp:positionV relativeFrom="paragraph">
              <wp:posOffset>410667</wp:posOffset>
            </wp:positionV>
            <wp:extent cx="6803390" cy="4203700"/>
            <wp:effectExtent l="0" t="0" r="0" b="6350"/>
            <wp:wrapSquare wrapText="bothSides"/>
            <wp:docPr id="8" name="Image 8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rvaillance tempéra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CB613" w14:textId="771849C0" w:rsidR="00E34522" w:rsidRDefault="00E34522"/>
    <w:p w14:paraId="6F054EF8" w14:textId="3DB6DB5A" w:rsidR="00F57D41" w:rsidRDefault="00F57D41"/>
    <w:p w14:paraId="39B37788" w14:textId="1CBCA0B7" w:rsidR="00F57D41" w:rsidRDefault="00F57D41"/>
    <w:sectPr w:rsidR="00F57D41" w:rsidSect="00460104">
      <w:headerReference w:type="default" r:id="rId18"/>
      <w:footerReference w:type="default" r:id="rId1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7B4D" w14:textId="77777777" w:rsidR="00433E33" w:rsidRDefault="00433E33" w:rsidP="00F57D41">
      <w:pPr>
        <w:spacing w:before="0" w:after="0"/>
      </w:pPr>
      <w:r>
        <w:separator/>
      </w:r>
    </w:p>
  </w:endnote>
  <w:endnote w:type="continuationSeparator" w:id="0">
    <w:p w14:paraId="5F2CA451" w14:textId="77777777" w:rsidR="00433E33" w:rsidRDefault="00433E33" w:rsidP="00F57D41">
      <w:pPr>
        <w:spacing w:before="0" w:after="0"/>
      </w:pPr>
      <w:r>
        <w:continuationSeparator/>
      </w:r>
    </w:p>
  </w:endnote>
  <w:endnote w:type="continuationNotice" w:id="1">
    <w:p w14:paraId="33C2B069" w14:textId="77777777" w:rsidR="00433E33" w:rsidRDefault="00433E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162A3EC2" w:rsidR="00F57D41" w:rsidRDefault="00863873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AC27C8">
      <w:rPr>
        <w:noProof/>
      </w:rPr>
      <w:t>17/01/2020</w:t>
    </w:r>
    <w:r>
      <w:rPr>
        <w:noProof/>
      </w:rPr>
      <w:fldChar w:fldCharType="end"/>
    </w:r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fldSimple w:instr=" NUMPAGES  \* Arabic  \* MERGEFORMAT ">
      <w:r w:rsidR="00F57D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8C97" w14:textId="77777777" w:rsidR="00433E33" w:rsidRDefault="00433E33" w:rsidP="00F57D41">
      <w:pPr>
        <w:spacing w:before="0" w:after="0"/>
      </w:pPr>
      <w:r>
        <w:separator/>
      </w:r>
    </w:p>
  </w:footnote>
  <w:footnote w:type="continuationSeparator" w:id="0">
    <w:p w14:paraId="49B8B621" w14:textId="77777777" w:rsidR="00433E33" w:rsidRDefault="00433E33" w:rsidP="00F57D41">
      <w:pPr>
        <w:spacing w:before="0" w:after="0"/>
      </w:pPr>
      <w:r>
        <w:continuationSeparator/>
      </w:r>
    </w:p>
  </w:footnote>
  <w:footnote w:type="continuationNotice" w:id="1">
    <w:p w14:paraId="1E3306D0" w14:textId="77777777" w:rsidR="00433E33" w:rsidRDefault="00433E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E1C56"/>
    <w:rsid w:val="00CE3190"/>
    <w:rsid w:val="00CE4984"/>
    <w:rsid w:val="00CE7CB3"/>
    <w:rsid w:val="00CF0A21"/>
    <w:rsid w:val="00CF14A1"/>
    <w:rsid w:val="00CF27D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401AFB-B447-4AA6-83F3-EC738572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1356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BORIBOUN Steven</cp:lastModifiedBy>
  <cp:revision>460</cp:revision>
  <dcterms:created xsi:type="dcterms:W3CDTF">2020-01-14T17:40:00Z</dcterms:created>
  <dcterms:modified xsi:type="dcterms:W3CDTF">2020-01-17T10:02:00Z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