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🧭 Market Compass 6.1 机构级量化投资研究与执行系统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白皮书 (Institutional Quant Research &amp; Execution System)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🧭 Market Compass Mission Statement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See the Market. Understand the Odds. Execute with Discipline.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看清市场，理解赔率，纪律执行。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💡 核心决策四步法：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价值决定方向（值不值得买）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320972" cy="232862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72" cy="23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技术决定时机（什么时候买）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320972" cy="232862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72" cy="23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风控决定仓位（买多少）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320972" cy="232862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72" cy="23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执行决定收益（什么时候卖）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📐 系统底层哲学：从选股器升华为投资委员会（Investment Committee）闭环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Market Compass 6.1 摒弃单维 RPS 追高与硬编码指标，建立了一个堵住所有“指标作弊漏洞”的机构级决策闭环：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7593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7593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⛔ 模块零：投资一票否决熔断器 (Investment Kill Switch)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在任何标的进入评分系统之前，必须无条件通过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Kill Switch 强制过滤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。满足以下任意一条，直接一票否决（Score = 0），绝不参与评分与推荐：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⛔ Market Compass 6.1 投资一票否决清单                │</w:t>
        <w:br w:type="textWrapping"/>
        <w:t xml:space="preserve">├───────────────────┬───────────────────┬───────────────────┬────────────┤</w:t>
        <w:br w:type="textWrapping"/>
        <w:t xml:space="preserve">│ 1. 公司行为/作弊  │ 2. 流动性与市值   │ 3. 基本面恶化     │ 4. 价格异动│</w:t>
        <w:br w:type="textWrapping"/>
        <w:t xml:space="preserve">│ • 12M 内并股      │ • 市值 &lt; $1B      │ • 12M 增发稀释&gt;15%│ • 单日涨幅 │</w:t>
        <w:br w:type="textWrapping"/>
        <w:t xml:space="preserve">│   (Reverse Split) │ • 20D ADTV        │ • Gross Margin    │   &gt; 30% 且 │</w:t>
        <w:br w:type="textWrapping"/>
        <w:t xml:space="preserve">│ • 无 SEC 披露的   │   &lt; $30M          │   连续 2 季下降   │   无基本面 │</w:t>
        <w:br w:type="textWrapping"/>
        <w:t xml:space="preserve">│   并购传闻        │ (日均成交额不足)  │ • 连续下修 Guidance│   催化剂   │</w:t>
        <w:br w:type="textWrapping"/>
        <w:t xml:space="preserve">└───────────────────┴───────────────────┴───────────────────┴────────────┘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🧮 模块一：Final Compass Score 终极决策打分架构 (100分制)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系统拒绝单一 RPS 主导，将权重合理归一化分配给四大核心维度：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7593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                         ┌──────────────────────────────────────────────┐</w:t>
        <w:br w:type="textWrapping"/>
        <w:t xml:space="preserve">                           │      Market Compass 6.1 终极决策引擎          │</w:t>
        <w:br w:type="textWrapping"/>
        <w:t xml:space="preserve">                           └──────────────────────┬───────────────────────┘</w:t>
        <w:br w:type="textWrapping"/>
        <w:t xml:space="preserve">                                                  │</w:t>
        <w:br w:type="textWrapping"/>
        <w:t xml:space="preserve">         ┌───────────────────────────┬────────────┴──────────────┬───────────────────────────┐</w:t>
        <w:br w:type="textWrapping"/>
        <w:t xml:space="preserve">         ▼                           ▼                           ▼                           ▼</w:t>
        <w:br w:type="textWrapping"/>
        <w:t xml:space="preserve">【A. 股票质量 (50%)】       【B. 估值与赔率 (20%)】     【C. 市场环境 (15%)】       【D. 执行买点 (15%)】</w:t>
        <w:br w:type="textWrapping"/>
        <w:t xml:space="preserve"> • 基本面质量 (25%)          • 6-12M 公允价安全边际 (10%) • MSS 宏观前瞻安全分 (5%)   • 黄金低吸带 GBZ (8%)</w:t>
        <w:br w:type="textWrapping"/>
        <w:t xml:space="preserve"> • 动量质量 (15%)            • 60D 交易盈亏比 RRR (10%)  • 市场宽度 Breadth (5%)     • 下跌缩量与筹码 confirmation (4%)</w:t>
        <w:br w:type="textWrapping"/>
        <w:t xml:space="preserve"> • 趋势结构与质量 (10%)                                  • 流动性与信用利差 (5%)     • 风险止损比 (3%)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🧮 模块二：股票质量 (Stock Quality) 三维细分打分矩阵 (50分)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Fundamental Quality 基本面质量（25分）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采用 1-5 分制评定后归一化折算：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市场与增长 Growth (8分)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：NTM Revenue YoY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66043" cy="237995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43" cy="23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且处于大 TAM 赛道；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盈利与单位经济 Profitability (7分)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：Gross Margin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66043" cy="237995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43" cy="23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，FCF Margin 为正且 ROIC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66043" cy="237995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43" cy="23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分析师预期修正 Revisions (5分)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：过去 30 天超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172" cy="233146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3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分析师上调未来 12M EPS（下调超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172" cy="233146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3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直接归 0）；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护城河与壁垒 Moat (5分)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：具备独占性生态/高转换成本（如 CUDA 生态）。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Momentum Quality 动量质量与异常过滤（15分）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为了防止追高“买在尾声”与“假阳线”，将动量拆解为质量与持续性：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多周期趋势动量（8分）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必须满足硬性门槛：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7977" cy="235604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977" cy="235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且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07977" cy="235604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977" cy="235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，加权公式为：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13921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61634" cy="235187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1634" cy="23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00283" cy="234221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283" cy="23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00283" cy="234221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283" cy="23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49956" cy="235961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956" cy="23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动量加速度（4分）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13921"/>
            <wp:effectExtent b="0" l="0" r="0" t="0"/>
            <wp:docPr id="5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365972" cy="235325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5972" cy="23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00283" cy="234221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283" cy="23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49956" cy="235961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956" cy="23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异常上涨过滤（3分 - 防事件/脉冲作弊）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33224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3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96245" cy="235015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6245" cy="23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（真实连续趋势）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116656" cy="235339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6656" cy="235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96245" cy="235015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6245" cy="23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（单日脉冲/事件驱动，剔除动量分）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Trend Structure &amp; Quality 趋势结构与路径质量（10分）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机构资金偏好“平滑、低回撤、持续推进”的趋势路径：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Minervini 均线排列与新高距离（4分）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025178" cy="24734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78" cy="24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且距离 52 周新高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13177" cy="235529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177" cy="235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上涨日比例 Up Day Ratio（3分）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33224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3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43188" cy="234527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34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26714" cy="23468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714" cy="234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13177" cy="235529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177" cy="235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回撤健康度 Drawdown Recovery（3分）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最近 3 个月最大回撤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20686" cy="235057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686" cy="235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26714" cy="234682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714" cy="234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13177" cy="235529"/>
            <wp:effectExtent b="0" l="0" r="0" t="0"/>
            <wp:docPr id="1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177" cy="235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🧮 模块三：双价格解耦估值模型（Dual-Target Valuation &amp; RRR）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为了彻底解决“6~12个月长期价值”与“60天波段交易”在散户执行上的逻辑混淆，系统将价格明确解耦为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价值价格（6-12M Fair Value）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波段交易目标价（60D Trading Target）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                            ┌────────────────────────────────────────┐</w:t>
        <w:br w:type="textWrapping"/>
        <w:t xml:space="preserve">                              │     双价格解耦架构 (Dual-Target)        │</w:t>
        <w:br w:type="textWrapping"/>
        <w:t xml:space="preserve">                              └───────────────────┬────────────────────┘</w:t>
        <w:br w:type="textWrapping"/>
        <w:t xml:space="preserve">                                                  │</w:t>
        <w:br w:type="textWrapping"/>
        <w:t xml:space="preserve">                 ┌────────────────────────────────┴────────────────────────────────┐</w:t>
        <w:br w:type="textWrapping"/>
        <w:t xml:space="preserve">                 ▼                                                                 ▼</w:t>
        <w:br w:type="textWrapping"/>
        <w:t xml:space="preserve">   【6-12M 价值公允价 (Fair Value)】                                 【60D 波段交易目标价 (Trading Target)】</w:t>
        <w:br w:type="textWrapping"/>
        <w:t xml:space="preserve">    用途: 判定股票“值不值得买 / 空间够不够”                           用途: 制定波段“目标止盈与盈亏比 RRR 测算”</w:t>
        <w:br w:type="textWrapping"/>
        <w:t xml:space="preserve">    对标: 华尔街机构 12M Target Price                               算法: 结合 60D ATR 波动扩展与通道阻力</w:t>
        <w:br w:type="textWrapping"/>
        <w:t xml:space="preserve">    公式: PWFV 三档概率加权模型                                      公式: $P_{\text{Trading\_60D}} = \min(P_{\text{Resistance}}, \; P_{\text{current}} + 1.5 \times \text{ATR}_{14} \sqrt{60})$</w:t>
        <w:br w:type="textWrapping"/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6-12M 概率加权公允价值 (Probabilistic Weighted Fair Value, PWFV)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基于华尔街标准 12 个月视角与三档情景（Bear 20%, Base 55%, Bull 25%）计算价值底座：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05047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5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安全边际（MoS）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636709" cy="266441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6709" cy="266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59469" cy="234428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469" cy="234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赋予安全边际得分 10分）。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60D 交易目标价与盈亏比（60D Trading Target &amp; RRR）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60D 波段交易目标价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926306" cy="249144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306" cy="24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：基于 60D 均线通道与前期阻力测算，明确告知交易者“本波段目标获利离场位”。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60D 预期盈亏比 (Reward/Risk Ratio, RRR)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55674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5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映射评分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04009" cy="2348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09" cy="234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303069" cy="234748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069" cy="234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；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04430" cy="23543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430" cy="23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🛠️ 模块四：资金确认与黄金低吸带 (Capital Flow &amp; GBZ Execution)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机构吸筹与卖压分析（Selling Pressure &amp; Down Volume）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机构建仓的核心特征是：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上涨放量，下跌极度缩量（供应被锁定）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1137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1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43858" cy="23486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858" cy="234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证明抛盘被机构吸收完毕，买点质量极高。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算法化黄金低吸带 (Golden Buy Zone)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1137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1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96186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买入触发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：股价回踩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73594" cy="235013"/>
            <wp:effectExtent b="0" l="0" r="0" t="0"/>
            <wp:docPr id="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594" cy="23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，且伴随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769" cy="23466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69" cy="23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且右侧阳线企稳。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硬核止损算法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488131" cy="235084"/>
            <wp:effectExtent b="0" l="0" r="0" t="0"/>
            <wp:docPr id="1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8131" cy="235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（跌破无条件离场）。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🎯 模块五：Final Compass Score 得分与动态仓位映射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Final Compass 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信号置信度星级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决策动作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建议动态仓位上限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90.0 ~ 100.0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⭐⭐⭐⭐⭐ (强烈关注)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确认极高安全边际，分批/黄金带低吸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64394" cy="209743"/>
                  <wp:effectExtent b="0" l="0" r="0" t="0"/>
                  <wp:docPr id="3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394" cy="2097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80.0 ~ 89.9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⭐⭐⭐⭐ (准备低吸)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标的质量优秀，耐心等待回踩 GBZ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64394" cy="209743"/>
                  <wp:effectExtent b="0" l="0" r="0" t="0"/>
                  <wp:docPr id="39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394" cy="2097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70.0 ~ 79.9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⭐⭐⭐ (中性观察)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动能衰减或估值偏贵，观望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30485" cy="211278"/>
                  <wp:effectExtent b="0" l="0" r="0" t="0"/>
                  <wp:docPr id="40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85" cy="2112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(试探仓)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60.0 ~ 69.9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⭐⭐ (风险偏高)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赔率不足或做空压力大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30485" cy="211278"/>
                  <wp:effectExtent b="0" l="0" r="0" t="0"/>
                  <wp:docPr id="4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85" cy="2112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&lt; 60.0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⭐ (极高风险)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一票否决或基本面/动量破位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30485" cy="211278"/>
                  <wp:effectExtent b="0" l="0" r="0" t="0"/>
                  <wp:docPr id="45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85" cy="2112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社群标准化每日交付物：Market Compass 6.1 日报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🧭 Market Compass 6.1 每日投资罗盘</w:t>
        <w:br w:type="textWrapping"/>
        <w:t xml:space="preserve">报告日期：2026.07.25 | 版本：System V6.1 | 引擎：Unified Investment Committee Engine</w:t>
        <w:br w:type="textWrapping"/>
        <w:br w:type="textWrapping"/>
        <w:t xml:space="preserve">一、🌎 Market Regime 全球市场状态扫描</w:t>
        <w:br w:type="textWrapping"/>
        <w:t xml:space="preserve">• 宏观安全得分 (Market Score)：82 / 100 🟢 (Risk-On 结构性上涨，仓位上限建议 80%~100%)</w:t>
        <w:br w:type="textWrapping"/>
        <w:t xml:space="preserve">• 核心前瞻指标：SKEW 124 (平静) | 0DTE PCR 0.72 (健康) | HY Spread 平稳 | 50D MA 宽度 58%</w:t>
        <w:br w:type="textWrapping"/>
        <w:t xml:space="preserve">• 💡 AI 市场解读：大资金持续配置高确定性成长资产。当前无尾部避险预警，重点关注资金向中盘扩散。</w:t>
        <w:br w:type="textWrapping"/>
        <w:br w:type="textWrapping"/>
        <w:t xml:space="preserve">二、📰 Market Catalyst 今日驱动因素</w:t>
        <w:br w:type="textWrapping"/>
        <w:t xml:space="preserve">• 🚀 核心逻辑链：AI需求爆发 ➔ 云计算CAPEX上修 ➔ GPU/HBM需求拉满 ➔ 网络设备 ➔ 电力基础设施</w:t>
        <w:br w:type="textWrapping"/>
        <w:t xml:space="preserve">• 🟢 核心受益方向：半导体 | 存储 | 数据中心 | 电力设备</w:t>
        <w:br w:type="textWrapping"/>
        <w:br w:type="textWrapping"/>
        <w:t xml:space="preserve">三、🔄 Sector Compass 行业资金罗盘 (Top 3)</w:t>
        <w:br w:type="textWrapping"/>
        <w:t xml:space="preserve">🥇 半导体 (Sector Score: 95 | 🔥 动能增强) ➔ 第一主线：AI Infrastructure</w:t>
        <w:br w:type="textWrapping"/>
        <w:t xml:space="preserve">🥈 电力基础设施 (Sector Score: 90 | 🔥 动能增强) ➔ 数据中心电网软硬件支撑</w:t>
        <w:br w:type="textWrapping"/>
        <w:t xml:space="preserve">🥉 存储 (Sector Score: 88 | 🟢 结构改善) ➔ HBM3e 产能高度锁定</w:t>
        <w:br w:type="textWrapping"/>
        <w:br w:type="textWrapping"/>
        <w:t xml:space="preserve">四、🚀 Alpha Universe 强势股票池 (Top 5 综合排序)</w:t>
        <w:br w:type="textWrapping"/>
        <w:t xml:space="preserve">（已无条件通过 Kill Switch 熔断过滤：无 12M 并股、无稀释、无异常脉冲）</w:t>
        <w:br w:type="textWrapping"/>
        <w:t xml:space="preserve">1. NVDA (Final Score: 93.7 | ⭐⭐⭐⭐⭐) ➔ 60D 交易目标价: $240 | 预期盈亏比: 2.02</w:t>
        <w:br w:type="textWrapping"/>
        <w:t xml:space="preserve">2. ANET (Final Score: 91.5 | ⭐⭐⭐⭐⭐) ➔ 60D 交易目标价: $310 | 预期盈亏比: 1.85</w:t>
        <w:br w:type="textWrapping"/>
        <w:t xml:space="preserve">3. AVGO (Final Score: 89.2 | ⭐⭐⭐⭐)  ➔ 60D 交易目标价: $185 | 预期盈亏比: 1.62</w:t>
        <w:br w:type="textWrapping"/>
        <w:t xml:space="preserve">4. MU   (Final Score: 87.8 | ⭐⭐⭐⭐)  ➔ 60D 交易目标价: $150 | 预期盈亏比: 1.55</w:t>
        <w:br w:type="textWrapping"/>
        <w:t xml:space="preserve">5. GEV  (Final Score: 85.0 | ⭐⭐⭐⭐)  ➔ 60D 交易目标价: $195 | 预期盈亏比: 1.41</w:t>
        <w:br w:type="textWrapping"/>
        <w:br w:type="textWrapping"/>
        <w:t xml:space="preserve">五、⭐ Investment Card 个股深度研究卡 (NVDA)</w:t>
        <w:br w:type="textWrapping"/>
        <w:t xml:space="preserve">• 标的：NVIDIA Corp (NVDA) | 综合得分：93.7 / 100 | 熔断状态：PASSED 🟢</w:t>
        <w:br w:type="textWrapping"/>
        <w:t xml:space="preserve">• 动能与趋势质量 (Momentum &amp; Trend: 95/100)：</w:t>
        <w:br w:type="textWrapping"/>
        <w:t xml:space="preserve">  - Weighted RPS 98 | 63日上涨天数比 63.5% | Event Ratio 12.5% (真实趋势) | Selling Pressure 28% (机构强锁仓)</w:t>
        <w:br w:type="textWrapping"/>
        <w:t xml:space="preserve">• 五维基本面质地 (Quality Score: 96/100 [4.8/5.0分])：</w:t>
        <w:br w:type="textWrapping"/>
        <w:t xml:space="preserve">  - 市场 (25%): 5/5 | 护城河 (25%): 5/5 | 单位经济 (20%): 5/5 (GM 75.2%) | 执行 (15%): 4/5 | 财务 (15%): 5/5</w:t>
        <w:br w:type="textWrapping"/>
        <w:t xml:space="preserve">• 双价格解耦估值与交易目标 (Dual-Target Valuation)：</w:t>
        <w:br w:type="textWrapping"/>
        <w:t xml:space="preserve">  - 6-12M 价值公允价 (Fair Value): $235 (Bear $160 / Base $230 / Bull $320，安全边际 +11.9%)</w:t>
        <w:br w:type="textWrapping"/>
        <w:t xml:space="preserve">  - 60D 波段交易目标价 (Trading Target): $240.00 | 60D 期望波动率: 5.89% | 预期盈亏比: 2.02</w:t>
        <w:br w:type="textWrapping"/>
        <w:br w:type="textWrapping"/>
        <w:t xml:space="preserve">六、🎯 Execution Compass 算力买卖执行计划</w:t>
        <w:br w:type="textWrapping"/>
        <w:t xml:space="preserve">[🟢 主线波段趋势轨 (NVDA)]</w:t>
        <w:br w:type="textWrapping"/>
        <w:t xml:space="preserve"> • 信号置信度：93.7 ⭐⭐⭐⭐⭐ (强烈关注，动态仓位上限：18.5%)</w:t>
        <w:br w:type="textWrapping"/>
        <w:t xml:space="preserve"> • 双周期指引：6-12M 价值公允价 $235.00 | 60D 交易目标价 $240.00 | 交易止损价 $187.50</w:t>
        <w:br w:type="textWrapping"/>
        <w:t xml:space="preserve"> • 算法黄金低吸带 (Golden Buy Zone)：$196.20 - $202.50 (基于 VWAP/EMA20/Vegas 中枢)</w:t>
        <w:br w:type="textWrapping"/>
        <w:t xml:space="preserve"> • 🟢 动态进场：股价缩量回踩黄金低吸带企稳（ Selling Pressure &lt; 35%）时建仓；</w:t>
        <w:br w:type="textWrapping"/>
        <w:t xml:space="preserve"> • 🔴 动态止损：$187.50 (基于 2*ATR，跌破无条件离场)；</w:t>
        <w:br w:type="textWrapping"/>
        <w:t xml:space="preserve"> • 🔵 移动止盈：达 60D 目标价 $240.00 减仓 1/3 并提止损至成本价 $210.00；破 EMA20 全清。</w:t>
        <w:br w:type="textWrapping"/>
        <w:br w:type="textWrapping"/>
        <w:t xml:space="preserve">七、📌 Portfolio Monitor 股票状态追踪</w:t>
        <w:br w:type="textWrapping"/>
        <w:t xml:space="preserve">| 股票 | 昨日状态 | 今日变化 | Final Score |</w:t>
        <w:br w:type="textWrapping"/>
        <w:t xml:space="preserve">| :--- | :--- | :--- | :--- |</w:t>
        <w:br w:type="textWrapping"/>
        <w:t xml:space="preserve">| NVDA | 🟢 关注 | 估值接近合理 | 93.7 |</w:t>
        <w:br w:type="textWrapping"/>
        <w:t xml:space="preserve">| ANET | 🟢 关注 | 资金确认分上升 | 91.5 |</w:t>
        <w:br w:type="textWrapping"/>
        <w:t xml:space="preserve">| MU   | 🆕 新加入 | 存储周期改善 | 87.8 |</w:t>
        <w:br w:type="textWrapping"/>
        <w:t xml:space="preserve">| GEV  | 🟡 观察 | 等待回踩黄金区 | 85.0 |</w:t>
        <w:br w:type="textWrapping"/>
        <w:br w:type="textWrapping"/>
        <w:t xml:space="preserve">💡 Market Compass 投资哲学：</w:t>
        <w:br w:type="textWrapping"/>
        <w:t xml:space="preserve">价值决定方向（值不值得买） ➔ 技术决定时机（什么时候买） ➔ 风控决定仓位（买多少） ➔ 执行决定收益（什么时候卖）</w:t>
        <w:br w:type="textWrapping"/>
        <w:t xml:space="preserve">==================================================</w:t>
        <w:br w:type="textWrapping"/>
        <w:t xml:space="preserve">（免责声明：本工具仅供量化数据及估值模型教学演示，不构成任何投资建议。）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9.png"/><Relationship Id="rId41" Type="http://schemas.openxmlformats.org/officeDocument/2006/relationships/image" Target="media/image26.png"/><Relationship Id="rId44" Type="http://schemas.openxmlformats.org/officeDocument/2006/relationships/image" Target="media/image1.png"/><Relationship Id="rId43" Type="http://schemas.openxmlformats.org/officeDocument/2006/relationships/image" Target="media/image12.png"/><Relationship Id="rId46" Type="http://schemas.openxmlformats.org/officeDocument/2006/relationships/image" Target="media/image4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3.png"/><Relationship Id="rId47" Type="http://schemas.openxmlformats.org/officeDocument/2006/relationships/image" Target="media/image5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35.png"/><Relationship Id="rId8" Type="http://schemas.openxmlformats.org/officeDocument/2006/relationships/image" Target="media/image30.png"/><Relationship Id="rId31" Type="http://schemas.openxmlformats.org/officeDocument/2006/relationships/image" Target="media/image23.png"/><Relationship Id="rId30" Type="http://schemas.openxmlformats.org/officeDocument/2006/relationships/image" Target="media/image27.png"/><Relationship Id="rId33" Type="http://schemas.openxmlformats.org/officeDocument/2006/relationships/image" Target="media/image29.png"/><Relationship Id="rId32" Type="http://schemas.openxmlformats.org/officeDocument/2006/relationships/image" Target="media/image22.png"/><Relationship Id="rId35" Type="http://schemas.openxmlformats.org/officeDocument/2006/relationships/image" Target="media/image14.png"/><Relationship Id="rId34" Type="http://schemas.openxmlformats.org/officeDocument/2006/relationships/image" Target="media/image11.png"/><Relationship Id="rId37" Type="http://schemas.openxmlformats.org/officeDocument/2006/relationships/image" Target="media/image8.png"/><Relationship Id="rId36" Type="http://schemas.openxmlformats.org/officeDocument/2006/relationships/image" Target="media/image6.png"/><Relationship Id="rId39" Type="http://schemas.openxmlformats.org/officeDocument/2006/relationships/image" Target="media/image13.png"/><Relationship Id="rId38" Type="http://schemas.openxmlformats.org/officeDocument/2006/relationships/image" Target="media/image50.png"/><Relationship Id="rId20" Type="http://schemas.openxmlformats.org/officeDocument/2006/relationships/image" Target="media/image43.png"/><Relationship Id="rId22" Type="http://schemas.openxmlformats.org/officeDocument/2006/relationships/image" Target="media/image47.png"/><Relationship Id="rId21" Type="http://schemas.openxmlformats.org/officeDocument/2006/relationships/image" Target="media/image46.png"/><Relationship Id="rId24" Type="http://schemas.openxmlformats.org/officeDocument/2006/relationships/image" Target="media/image25.png"/><Relationship Id="rId23" Type="http://schemas.openxmlformats.org/officeDocument/2006/relationships/image" Target="media/image49.png"/><Relationship Id="rId26" Type="http://schemas.openxmlformats.org/officeDocument/2006/relationships/image" Target="media/image18.png"/><Relationship Id="rId25" Type="http://schemas.openxmlformats.org/officeDocument/2006/relationships/image" Target="media/image20.png"/><Relationship Id="rId28" Type="http://schemas.openxmlformats.org/officeDocument/2006/relationships/image" Target="media/image24.png"/><Relationship Id="rId27" Type="http://schemas.openxmlformats.org/officeDocument/2006/relationships/image" Target="media/image19.png"/><Relationship Id="rId29" Type="http://schemas.openxmlformats.org/officeDocument/2006/relationships/image" Target="media/image17.png"/><Relationship Id="rId51" Type="http://schemas.openxmlformats.org/officeDocument/2006/relationships/image" Target="media/image48.png"/><Relationship Id="rId50" Type="http://schemas.openxmlformats.org/officeDocument/2006/relationships/image" Target="media/image15.png"/><Relationship Id="rId53" Type="http://schemas.openxmlformats.org/officeDocument/2006/relationships/image" Target="media/image52.png"/><Relationship Id="rId52" Type="http://schemas.openxmlformats.org/officeDocument/2006/relationships/image" Target="media/image2.png"/><Relationship Id="rId11" Type="http://schemas.openxmlformats.org/officeDocument/2006/relationships/image" Target="media/image32.png"/><Relationship Id="rId55" Type="http://schemas.openxmlformats.org/officeDocument/2006/relationships/image" Target="media/image34.png"/><Relationship Id="rId10" Type="http://schemas.openxmlformats.org/officeDocument/2006/relationships/image" Target="media/image40.png"/><Relationship Id="rId54" Type="http://schemas.openxmlformats.org/officeDocument/2006/relationships/image" Target="media/image28.png"/><Relationship Id="rId13" Type="http://schemas.openxmlformats.org/officeDocument/2006/relationships/image" Target="media/image36.png"/><Relationship Id="rId57" Type="http://schemas.openxmlformats.org/officeDocument/2006/relationships/image" Target="media/image33.png"/><Relationship Id="rId12" Type="http://schemas.openxmlformats.org/officeDocument/2006/relationships/image" Target="media/image31.png"/><Relationship Id="rId56" Type="http://schemas.openxmlformats.org/officeDocument/2006/relationships/image" Target="media/image51.png"/><Relationship Id="rId15" Type="http://schemas.openxmlformats.org/officeDocument/2006/relationships/image" Target="media/image37.png"/><Relationship Id="rId14" Type="http://schemas.openxmlformats.org/officeDocument/2006/relationships/image" Target="media/image38.png"/><Relationship Id="rId17" Type="http://schemas.openxmlformats.org/officeDocument/2006/relationships/image" Target="media/image41.png"/><Relationship Id="rId16" Type="http://schemas.openxmlformats.org/officeDocument/2006/relationships/image" Target="media/image42.png"/><Relationship Id="rId19" Type="http://schemas.openxmlformats.org/officeDocument/2006/relationships/image" Target="media/image45.png"/><Relationship Id="rId18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