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pPr>
      <w:r>
        <w:rPr>
          <w:rFonts w:ascii="Arial" w:cs="Arial" w:eastAsia="Arial" w:hAnsi="Arial"/>
          <w:b/>
          <w:bCs/>
          <w:color w:val="1A2B4A"/>
          <w:sz w:val="56"/>
          <w:szCs w:val="56"/>
        </w:rPr>
        <w:t xml:space="preserve">STAQ</w:t>
      </w:r>
    </w:p>
    <w:p>
      <w:pPr>
        <w:spacing w:after="120"/>
      </w:pPr>
      <w:r>
        <w:rPr>
          <w:rFonts w:ascii="Arial" w:cs="Arial" w:eastAsia="Arial" w:hAnsi="Arial"/>
          <w:color w:val="2E5FA3"/>
          <w:sz w:val="28"/>
          <w:szCs w:val="28"/>
        </w:rPr>
        <w:t xml:space="preserve">Engineering Specification</w:t>
      </w:r>
    </w:p>
    <w:p>
      <w:pPr>
        <w:pBdr>
          <w:bottom w:val="single" w:color="2E5FA3" w:sz="4"/>
        </w:pBdr>
        <w:spacing w:after="600"/>
      </w:pPr>
      <w:r>
        <w:rPr>
          <w:rFonts w:ascii="Arial" w:cs="Arial" w:eastAsia="Arial" w:hAnsi="Arial"/>
          <w:sz w:val="20"/>
          <w:szCs w:val="20"/>
        </w:rPr>
        <w:t xml:space="preserve"/>
      </w:r>
    </w:p>
    <w:p>
      <w:pPr>
        <w:spacing w:after="80"/>
      </w:pPr>
      <w:r>
        <w:t xml:space="preserve"/>
      </w:r>
    </w:p>
    <w:p>
      <w:pPr>
        <w:spacing w:before="400" w:after="160"/>
      </w:pPr>
      <w:r>
        <w:rPr>
          <w:rFonts w:ascii="Arial" w:cs="Arial" w:eastAsia="Arial" w:hAnsi="Arial"/>
          <w:b/>
          <w:bCs/>
          <w:color w:val="1A2B4A"/>
          <w:sz w:val="44"/>
          <w:szCs w:val="44"/>
        </w:rPr>
        <w:t xml:space="preserve">HubSpot Revenue Reporting API</w:t>
      </w:r>
    </w:p>
    <w:p>
      <w:pPr>
        <w:spacing w:after="120"/>
      </w:pPr>
      <w:r>
        <w:rPr>
          <w:rFonts w:ascii="Arial" w:cs="Arial" w:eastAsia="Arial" w:hAnsi="Arial"/>
          <w:color w:val="555555"/>
          <w:sz w:val="24"/>
          <w:szCs w:val="24"/>
        </w:rPr>
        <w:t xml:space="preserve">Data Extraction Specification for Deals, Stage History, and Activity Data</w:t>
      </w:r>
    </w:p>
    <w:p>
      <w:pPr>
        <w:spacing w:after="80"/>
      </w:pPr>
      <w:r>
        <w:t xml:space="preserve"/>
      </w:r>
    </w:p>
    <w:p>
      <w:pPr>
        <w:spacing w:after="80"/>
      </w:pPr>
      <w:r>
        <w:t xml:space="preserve"/>
      </w:r>
    </w:p>
    <w:p>
      <w:pPr>
        <w:spacing w:after="80"/>
      </w:pPr>
      <w:r>
        <w:rPr>
          <w:rFonts w:ascii="Arial" w:cs="Arial" w:eastAsia="Arial" w:hAnsi="Arial"/>
          <w:b/>
          <w:bCs/>
          <w:color w:val="1A2B4A"/>
          <w:sz w:val="20"/>
          <w:szCs w:val="20"/>
        </w:rPr>
        <w:t xml:space="preserve">Version:</w:t>
      </w:r>
      <w:r>
        <w:rPr>
          <w:rFonts w:ascii="Arial" w:cs="Arial" w:eastAsia="Arial" w:hAnsi="Arial"/>
          <w:color w:val="1A1A1A"/>
          <w:sz w:val="20"/>
          <w:szCs w:val="20"/>
        </w:rPr>
        <w:t xml:space="preserve">  1.0</w:t>
      </w:r>
    </w:p>
    <w:p>
      <w:pPr>
        <w:spacing w:after="80"/>
      </w:pPr>
      <w:r>
        <w:rPr>
          <w:rFonts w:ascii="Arial" w:cs="Arial" w:eastAsia="Arial" w:hAnsi="Arial"/>
          <w:b/>
          <w:bCs/>
          <w:color w:val="1A2B4A"/>
          <w:sz w:val="20"/>
          <w:szCs w:val="20"/>
        </w:rPr>
        <w:t xml:space="preserve">Date:</w:t>
      </w:r>
      <w:r>
        <w:rPr>
          <w:rFonts w:ascii="Arial" w:cs="Arial" w:eastAsia="Arial" w:hAnsi="Arial"/>
          <w:color w:val="1A1A1A"/>
          <w:sz w:val="20"/>
          <w:szCs w:val="20"/>
        </w:rPr>
        <w:t xml:space="preserve">  March 2026</w:t>
      </w:r>
    </w:p>
    <w:p>
      <w:pPr>
        <w:spacing w:after="80"/>
      </w:pPr>
      <w:r>
        <w:rPr>
          <w:rFonts w:ascii="Arial" w:cs="Arial" w:eastAsia="Arial" w:hAnsi="Arial"/>
          <w:b/>
          <w:bCs/>
          <w:color w:val="1A2B4A"/>
          <w:sz w:val="20"/>
          <w:szCs w:val="20"/>
        </w:rPr>
        <w:t xml:space="preserve">Audience:</w:t>
      </w:r>
      <w:r>
        <w:rPr>
          <w:rFonts w:ascii="Arial" w:cs="Arial" w:eastAsia="Arial" w:hAnsi="Arial"/>
          <w:color w:val="1A1A1A"/>
          <w:sz w:val="20"/>
          <w:szCs w:val="20"/>
        </w:rPr>
        <w:t xml:space="preserve">  Staq Engineering</w:t>
      </w:r>
    </w:p>
    <w:p>
      <w:pPr>
        <w:spacing w:after="80"/>
      </w:pPr>
      <w:r>
        <w:rPr>
          <w:rFonts w:ascii="Arial" w:cs="Arial" w:eastAsia="Arial" w:hAnsi="Arial"/>
          <w:b/>
          <w:bCs/>
          <w:color w:val="1A2B4A"/>
          <w:sz w:val="20"/>
          <w:szCs w:val="20"/>
        </w:rPr>
        <w:t xml:space="preserve">Status:</w:t>
      </w:r>
      <w:r>
        <w:rPr>
          <w:rFonts w:ascii="Arial" w:cs="Arial" w:eastAsia="Arial" w:hAnsi="Arial"/>
          <w:color w:val="1A1A1A"/>
          <w:sz w:val="20"/>
          <w:szCs w:val="20"/>
        </w:rPr>
        <w:t xml:space="preserve">  Draft</w:t>
      </w:r>
    </w:p>
    <w:p>
      <w:pPr>
        <w:spacing w:after="80"/>
      </w:pPr>
      <w:r>
        <w:t xml:space="preserve"/>
      </w:r>
    </w:p>
    <w:p>
      <w:pPr>
        <w:spacing w:after="80"/>
      </w:pPr>
      <w:r>
        <w:t xml:space="preserve"/>
      </w:r>
    </w:p>
    <w:p>
      <w:pPr>
        <w:spacing w:after="120"/>
      </w:pPr>
      <w:r>
        <w:rPr>
          <w:rFonts w:ascii="Arial" w:cs="Arial" w:eastAsia="Arial" w:hAnsi="Arial"/>
          <w:b/>
          <w:bCs/>
          <w:color w:val="1A2B4A"/>
          <w:sz w:val="22"/>
          <w:szCs w:val="22"/>
        </w:rPr>
        <w:t xml:space="preserve">Scope</w:t>
      </w:r>
    </w:p>
    <w:p>
      <w:pPr>
        <w:spacing w:after="140" w:line="276"/>
      </w:pPr>
      <w:r>
        <w:rPr>
          <w:rFonts w:ascii="Arial" w:cs="Arial" w:eastAsia="Arial" w:hAnsi="Arial"/>
          <w:color w:val="1A1A1A"/>
          <w:sz w:val="20"/>
          <w:szCs w:val="20"/>
        </w:rPr>
        <w:t xml:space="preserve">This document specifies the HubSpot API endpoints, request patterns, and field definitions required for Staq to extract revenue reporting data from a customer's HubSpot instance. Coverage is limited to three data categories: deal records with associated contact identities, deal stage movement history, and rep-level activity records (calls, emails, meetings). Tool-specific data (sequences, enrichment fields, conversation intelligence) is out of scope for this pass.</w:t>
      </w:r>
    </w:p>
    <w:p>
      <w:pPr>
        <w:spacing w:after="80"/>
      </w:pPr>
      <w:r>
        <w:t xml:space="preserve"/>
      </w:r>
    </w:p>
    <w:p>
      <w:pPr>
        <w:spacing w:after="140" w:line="276"/>
      </w:pPr>
      <w:r>
        <w:rPr>
          <w:rFonts w:ascii="Arial" w:cs="Arial" w:eastAsia="Arial" w:hAnsi="Arial"/>
          <w:color w:val="1A1A1A"/>
          <w:sz w:val="20"/>
          <w:szCs w:val="20"/>
        </w:rPr>
        <w:t xml:space="preserve">This specification is the HubSpot counterpart to the Salesforce Revenue Reporting Spec. Where the Salesforce equivalent pulls Opportunities, OpportunityFieldHistory, and Tasks/Events, this document maps those constructs to HubSpot's CRM object model and explains the structural differences an engineer must account for.</w:t>
      </w:r>
    </w:p>
    <w:p>
      <w:r>
        <w:br w:type="page"/>
      </w:r>
    </w:p>
    <w:p>
      <w:pPr>
        <w:pBdr>
          <w:bottom w:val="single" w:color="1A2B4A" w:sz="3"/>
        </w:pBdr>
        <w:shd w:fill="2E5FA3" w:val="clear"/>
        <w:spacing w:before="360" w:after="200"/>
      </w:pPr>
      <w:r>
        <w:rPr>
          <w:rFonts w:ascii="Arial" w:cs="Arial" w:eastAsia="Arial" w:hAnsi="Arial"/>
          <w:b/>
          <w:bCs/>
          <w:color w:val="FFFFFF"/>
          <w:sz w:val="26"/>
          <w:szCs w:val="26"/>
        </w:rPr>
        <w:t xml:space="preserve">1. Authentication</w:t>
      </w:r>
    </w:p>
    <w:p>
      <w:pPr>
        <w:spacing w:after="80"/>
      </w:pPr>
      <w:r>
        <w:t xml:space="preserve"/>
      </w:r>
    </w:p>
    <w:p>
      <w:pPr>
        <w:spacing w:after="140" w:line="276"/>
      </w:pPr>
      <w:r>
        <w:rPr>
          <w:rFonts w:ascii="Arial" w:cs="Arial" w:eastAsia="Arial" w:hAnsi="Arial"/>
          <w:color w:val="1A1A1A"/>
          <w:sz w:val="20"/>
          <w:szCs w:val="20"/>
        </w:rPr>
        <w:t xml:space="preserve">All HubSpot API calls used in this spec authenticate against api.hubapi.com. HubSpot supports two authentication methods relevant to a server-to-server integration: Private App tokens (recommended for single-portal connections) and OAuth 2.0 (required for multi-portal or marketplace integrations).</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1.1  Private App Token (Recommended)</w:t>
      </w:r>
    </w:p>
    <w:p>
      <w:pPr>
        <w:spacing w:after="140" w:line="276"/>
      </w:pPr>
      <w:r>
        <w:rPr>
          <w:rFonts w:ascii="Arial" w:cs="Arial" w:eastAsia="Arial" w:hAnsi="Arial"/>
          <w:color w:val="1A1A1A"/>
          <w:sz w:val="20"/>
          <w:szCs w:val="20"/>
        </w:rPr>
        <w:t xml:space="preserve">A Private App is a credential scoped to a single HubSpot portal. The customer's Super Admin creates it under Settings &gt; Integrations &gt; Private Apps. The token format is pat-na1-{uuid} for North American portals and pat-eu1-{uuid} for EU portals.</w:t>
      </w:r>
    </w:p>
    <w:p>
      <w:pPr>
        <w:spacing w:after="80"/>
      </w:pPr>
      <w:r>
        <w:t xml:space="preserve"/>
      </w:r>
    </w:p>
    <w:p>
      <w:pPr>
        <w:spacing w:after="140" w:line="276"/>
      </w:pPr>
      <w:r>
        <w:rPr>
          <w:rFonts w:ascii="Arial" w:cs="Arial" w:eastAsia="Arial" w:hAnsi="Arial"/>
          <w:color w:val="1A1A1A"/>
          <w:sz w:val="20"/>
          <w:szCs w:val="20"/>
        </w:rPr>
        <w:t xml:space="preserve">What the customer admin must provide to Staq:</w:t>
      </w:r>
    </w:p>
    <w:p>
      <w:pPr>
        <w:pStyle w:val="ListParagraph"/>
        <w:numPr>
          <w:ilvl w:val="0"/>
          <w:numId w:val="2"/>
        </w:numPr>
        <w:spacing w:after="80"/>
      </w:pPr>
      <w:r>
        <w:rPr>
          <w:rFonts w:ascii="Arial" w:cs="Arial" w:eastAsia="Arial" w:hAnsi="Arial"/>
          <w:color w:val="1A1A1A"/>
          <w:sz w:val="20"/>
          <w:szCs w:val="20"/>
        </w:rPr>
        <w:t xml:space="preserve">The Private App access token</w:t>
      </w:r>
    </w:p>
    <w:p>
      <w:pPr>
        <w:pStyle w:val="ListParagraph"/>
        <w:numPr>
          <w:ilvl w:val="0"/>
          <w:numId w:val="2"/>
        </w:numPr>
        <w:spacing w:after="80"/>
      </w:pPr>
      <w:r>
        <w:rPr>
          <w:rFonts w:ascii="Arial" w:cs="Arial" w:eastAsia="Arial" w:hAnsi="Arial"/>
          <w:color w:val="1A1A1A"/>
          <w:sz w:val="20"/>
          <w:szCs w:val="20"/>
        </w:rPr>
        <w:t xml:space="preserve">Confirmation of the portal's data residency region (NA or EU) — this affects the base URL for some token-info endpoints</w:t>
      </w:r>
    </w:p>
    <w:p>
      <w:pPr>
        <w:spacing w:after="80"/>
      </w:pPr>
      <w:r>
        <w:t xml:space="preserve"/>
      </w:r>
    </w:p>
    <w:p>
      <w:pPr>
        <w:spacing w:after="140" w:line="276"/>
      </w:pPr>
      <w:r>
        <w:rPr>
          <w:rFonts w:ascii="Arial" w:cs="Arial" w:eastAsia="Arial" w:hAnsi="Arial"/>
          <w:color w:val="1A1A1A"/>
          <w:sz w:val="20"/>
          <w:szCs w:val="20"/>
        </w:rPr>
        <w:t xml:space="preserve">Required scopes for this specification:</w:t>
      </w:r>
    </w:p>
    <w:p>
      <w:pPr>
        <w:pStyle w:val="ListParagraph"/>
        <w:numPr>
          <w:ilvl w:val="0"/>
          <w:numId w:val="2"/>
        </w:numPr>
        <w:spacing w:after="80"/>
      </w:pPr>
      <w:r>
        <w:rPr>
          <w:rFonts w:ascii="Arial" w:cs="Arial" w:eastAsia="Arial" w:hAnsi="Arial"/>
          <w:color w:val="1A1A1A"/>
          <w:sz w:val="20"/>
          <w:szCs w:val="20"/>
        </w:rPr>
        <w:t xml:space="preserve">crm.objects.deals.read</w:t>
      </w:r>
    </w:p>
    <w:p>
      <w:pPr>
        <w:pStyle w:val="ListParagraph"/>
        <w:numPr>
          <w:ilvl w:val="0"/>
          <w:numId w:val="2"/>
        </w:numPr>
        <w:spacing w:after="80"/>
      </w:pPr>
      <w:r>
        <w:rPr>
          <w:rFonts w:ascii="Arial" w:cs="Arial" w:eastAsia="Arial" w:hAnsi="Arial"/>
          <w:color w:val="1A1A1A"/>
          <w:sz w:val="20"/>
          <w:szCs w:val="20"/>
        </w:rPr>
        <w:t xml:space="preserve">crm.objects.contacts.read</w:t>
      </w:r>
    </w:p>
    <w:p>
      <w:pPr>
        <w:pStyle w:val="ListParagraph"/>
        <w:numPr>
          <w:ilvl w:val="0"/>
          <w:numId w:val="2"/>
        </w:numPr>
        <w:spacing w:after="80"/>
      </w:pPr>
      <w:r>
        <w:rPr>
          <w:rFonts w:ascii="Arial" w:cs="Arial" w:eastAsia="Arial" w:hAnsi="Arial"/>
          <w:color w:val="1A1A1A"/>
          <w:sz w:val="20"/>
          <w:szCs w:val="20"/>
        </w:rPr>
        <w:t xml:space="preserve">crm.objects.owners.read</w:t>
      </w:r>
    </w:p>
    <w:p>
      <w:pPr>
        <w:pStyle w:val="ListParagraph"/>
        <w:numPr>
          <w:ilvl w:val="0"/>
          <w:numId w:val="2"/>
        </w:numPr>
        <w:spacing w:after="80"/>
      </w:pPr>
      <w:r>
        <w:rPr>
          <w:rFonts w:ascii="Arial" w:cs="Arial" w:eastAsia="Arial" w:hAnsi="Arial"/>
          <w:color w:val="1A1A1A"/>
          <w:sz w:val="20"/>
          <w:szCs w:val="20"/>
        </w:rPr>
        <w:t xml:space="preserve">crm.objects.calls.read</w:t>
      </w:r>
    </w:p>
    <w:p>
      <w:pPr>
        <w:pStyle w:val="ListParagraph"/>
        <w:numPr>
          <w:ilvl w:val="0"/>
          <w:numId w:val="2"/>
        </w:numPr>
        <w:spacing w:after="80"/>
      </w:pPr>
      <w:r>
        <w:rPr>
          <w:rFonts w:ascii="Arial" w:cs="Arial" w:eastAsia="Arial" w:hAnsi="Arial"/>
          <w:color w:val="1A1A1A"/>
          <w:sz w:val="20"/>
          <w:szCs w:val="20"/>
        </w:rPr>
        <w:t xml:space="preserve">crm.objects.emails.read</w:t>
      </w:r>
    </w:p>
    <w:p>
      <w:pPr>
        <w:pStyle w:val="ListParagraph"/>
        <w:numPr>
          <w:ilvl w:val="0"/>
          <w:numId w:val="2"/>
        </w:numPr>
        <w:spacing w:after="80"/>
      </w:pPr>
      <w:r>
        <w:rPr>
          <w:rFonts w:ascii="Arial" w:cs="Arial" w:eastAsia="Arial" w:hAnsi="Arial"/>
          <w:color w:val="1A1A1A"/>
          <w:sz w:val="20"/>
          <w:szCs w:val="20"/>
        </w:rPr>
        <w:t xml:space="preserve">crm.objects.meetings.read</w:t>
      </w:r>
    </w:p>
    <w:p>
      <w:pPr>
        <w:spacing w:after="80"/>
      </w:pPr>
      <w:r>
        <w:t xml:space="preserve"/>
      </w:r>
    </w:p>
    <w:p>
      <w:pPr>
        <w:spacing w:after="140" w:line="276"/>
      </w:pPr>
      <w:r>
        <w:rPr>
          <w:rFonts w:ascii="Arial" w:cs="Arial" w:eastAsia="Arial" w:hAnsi="Arial"/>
          <w:color w:val="1A1A1A"/>
          <w:sz w:val="20"/>
          <w:szCs w:val="20"/>
        </w:rPr>
        <w:t xml:space="preserve">Request pattern: include the token as a Bearer token in the Authorization header on every request.</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GET https://api.hubapi.com/crm/v3/objects/deals</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Authorization: Bearer pat-na1-xxxxxxxx-xxxx-xxxx-xxxx-xxxxxxxxxxxx</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Content-Type: application/json</w:t>
            </w:r>
          </w:p>
        </w:tc>
      </w:tr>
    </w:tbl>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1.2  OAuth 2.0 (Multi-Portal)</w:t>
      </w:r>
    </w:p>
    <w:p>
      <w:pPr>
        <w:spacing w:after="140" w:line="276"/>
      </w:pPr>
      <w:r>
        <w:rPr>
          <w:rFonts w:ascii="Arial" w:cs="Arial" w:eastAsia="Arial" w:hAnsi="Arial"/>
          <w:color w:val="1A1A1A"/>
          <w:sz w:val="20"/>
          <w:szCs w:val="20"/>
        </w:rPr>
        <w:t xml:space="preserve">If Staq will connect to multiple customer portals under a single app registration, OAuth 2.0 is required. The flow is standard authorization-code with refresh tokens. Access tokens expire after 30 minutes (expires_in: 1800); refresh tokens are long-lived.</w:t>
      </w:r>
    </w:p>
    <w:p>
      <w:pPr>
        <w:spacing w:after="80"/>
      </w:pPr>
      <w:r>
        <w:t xml:space="preserve"/>
      </w:r>
    </w:p>
    <w:p>
      <w:pPr>
        <w:spacing w:after="140" w:line="276"/>
      </w:pPr>
      <w:r>
        <w:rPr>
          <w:rFonts w:ascii="Arial" w:cs="Arial" w:eastAsia="Arial" w:hAnsi="Arial"/>
          <w:color w:val="1A1A1A"/>
          <w:sz w:val="20"/>
          <w:szCs w:val="20"/>
        </w:rPr>
        <w:t xml:space="preserve">Token exchange endpoint:</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POST https://api.hubapi.com/oauth/v1/token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Content-Type: application/x-www-form-urlencoded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grant_type=authorization_code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&amp;code={auth_code}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&amp;redirect_uri={redirect_uri}</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&amp;client_id={client_id}</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&amp;client_secret={client_secret}</w:t>
            </w:r>
          </w:p>
        </w:tc>
      </w:tr>
    </w:tbl>
    <w:p>
      <w:pPr>
        <w:spacing w:after="80"/>
      </w:pPr>
      <w:r>
        <w:t xml:space="preserve"/>
      </w:r>
    </w:p>
    <w:p>
      <w:pPr>
        <w:spacing w:after="140" w:line="276"/>
      </w:pPr>
      <w:r>
        <w:rPr>
          <w:rFonts w:ascii="Arial" w:cs="Arial" w:eastAsia="Arial" w:hAnsi="Arial"/>
          <w:color w:val="1A1A1A"/>
          <w:sz w:val="20"/>
          <w:szCs w:val="20"/>
        </w:rPr>
        <w:t xml:space="preserve">Refresh token pattern:</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POST https://api.hubapi.com/oauth/v1/token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Content-Type: application/x-www-form-urlencoded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grant_type=refresh_token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&amp;refresh_token={refresh_token}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&amp;client_id={client_id}</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&amp;client_secret={client_secret}</w:t>
            </w:r>
          </w:p>
        </w:tc>
      </w:tr>
    </w:tbl>
    <w:p>
      <w:pPr>
        <w:spacing w:after="80"/>
      </w:pPr>
      <w:r>
        <w:t xml:space="preserve"/>
      </w:r>
    </w:p>
    <w:p>
      <w:pPr>
        <w:spacing w:after="140" w:line="276"/>
      </w:pPr>
      <w:r>
        <w:rPr>
          <w:rFonts w:ascii="Arial" w:cs="Arial" w:eastAsia="Arial" w:hAnsi="Arial"/>
          <w:color w:val="1A1A1A"/>
          <w:sz w:val="20"/>
          <w:szCs w:val="20"/>
        </w:rPr>
        <w:t xml:space="preserve">Once a valid access token is obtained via OAuth, the Authorization: Bearer {access_token} header pattern is identical to Private Apps. The transport layer is the same for both auth methods.</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Note: </w:t>
            </w:r>
            <w:r>
              <w:rPr>
                <w:rFonts w:ascii="Arial" w:cs="Arial" w:eastAsia="Arial" w:hAnsi="Arial"/>
                <w:color w:val="1A1A1A"/>
                <w:sz w:val="18"/>
                <w:szCs w:val="18"/>
              </w:rPr>
              <w:t xml:space="preserve">Rate limits apply per portal, not per token. The default limit is 110 requests per 10 seconds. Burst-heavy sync jobs should implement exponential backoff on 429 responses. HubSpot returns a Retry-After header (in milliseconds) with 429 errors.</w:t>
            </w:r>
          </w:p>
        </w:tc>
      </w:tr>
    </w:tbl>
    <w:p>
      <w:r>
        <w:br w:type="page"/>
      </w:r>
    </w:p>
    <w:p>
      <w:pPr>
        <w:pBdr>
          <w:bottom w:val="single" w:color="1A2B4A" w:sz="3"/>
        </w:pBdr>
        <w:shd w:fill="2E5FA3" w:val="clear"/>
        <w:spacing w:before="360" w:after="200"/>
      </w:pPr>
      <w:r>
        <w:rPr>
          <w:rFonts w:ascii="Arial" w:cs="Arial" w:eastAsia="Arial" w:hAnsi="Arial"/>
          <w:b/>
          <w:bCs/>
          <w:color w:val="FFFFFF"/>
          <w:sz w:val="26"/>
          <w:szCs w:val="26"/>
        </w:rPr>
        <w:t xml:space="preserve">2. Deal Data with Associated Contacts</w:t>
      </w:r>
    </w:p>
    <w:p>
      <w:pPr>
        <w:spacing w:after="80"/>
      </w:pPr>
      <w:r>
        <w:t xml:space="preserve"/>
      </w:r>
    </w:p>
    <w:p>
      <w:pPr>
        <w:spacing w:after="140" w:line="276"/>
      </w:pPr>
      <w:r>
        <w:rPr>
          <w:rFonts w:ascii="Arial" w:cs="Arial" w:eastAsia="Arial" w:hAnsi="Arial"/>
          <w:color w:val="1A1A1A"/>
          <w:sz w:val="20"/>
          <w:szCs w:val="20"/>
        </w:rPr>
        <w:t xml:space="preserve">Salesforce equivalent: Opportunity + OpportunityContactRole</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2.1  Overview and Structural Difference from Salesforce</w:t>
      </w:r>
    </w:p>
    <w:p>
      <w:pPr>
        <w:spacing w:after="140" w:line="276"/>
      </w:pPr>
      <w:r>
        <w:rPr>
          <w:rFonts w:ascii="Arial" w:cs="Arial" w:eastAsia="Arial" w:hAnsi="Arial"/>
          <w:color w:val="1A1A1A"/>
          <w:sz w:val="20"/>
          <w:szCs w:val="20"/>
        </w:rPr>
        <w:t xml:space="preserve">In Salesforce, Contact Roles are a first-class join object (OpportunityContactRole) linking contacts to an opportunity with a Role field and an isPrimary flag. HubSpot does not have an equivalent managed object. Instead, contacts are associated to deals through HubSpot's generic Associations framework: a many-to-many graph edge with optional association labels (e.g., "Decision Maker," "Billing Contact") that the portal admin can define, but which are purely optional and frequently absent.</w:t>
      </w:r>
    </w:p>
    <w:p>
      <w:pPr>
        <w:spacing w:after="80"/>
      </w:pPr>
      <w:r>
        <w:t xml:space="preserve"/>
      </w:r>
    </w:p>
    <w:p>
      <w:pPr>
        <w:spacing w:after="140" w:line="276"/>
      </w:pPr>
      <w:r>
        <w:rPr>
          <w:rFonts w:ascii="Arial" w:cs="Arial" w:eastAsia="Arial" w:hAnsi="Arial"/>
          <w:color w:val="1A1A1A"/>
          <w:sz w:val="20"/>
          <w:szCs w:val="20"/>
        </w:rPr>
        <w:t xml:space="preserve">As a result, Staq cannot retrieve a structured contact role from a deal record in a single query. The correct two-step pattern is: (1) pull all deal records with their properties, then (2) resolve associated contact IDs via the Associations API and hydrate contact email addresses with a batch contacts lookup. Contact email is the revenue join key — it links activity records back to deals and ultimately to revenue outcomes.</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2.2  API Approach</w:t>
      </w:r>
    </w:p>
    <w:p>
      <w:pPr>
        <w:spacing w:after="140" w:line="276"/>
      </w:pPr>
      <w:r>
        <w:rPr>
          <w:rFonts w:ascii="Arial" w:cs="Arial" w:eastAsia="Arial" w:hAnsi="Arial"/>
          <w:color w:val="1A1A1A"/>
          <w:sz w:val="20"/>
          <w:szCs w:val="20"/>
        </w:rPr>
        <w:t xml:space="preserve">Use the CRM Objects API v3. The Deals object type ID is 0-3.</w:t>
      </w:r>
    </w:p>
    <w:p>
      <w:pPr>
        <w:spacing w:after="80"/>
      </w:pPr>
      <w:r>
        <w:t xml:space="preserve"/>
      </w:r>
    </w:p>
    <w:p>
      <w:pPr>
        <w:spacing w:before="200" w:after="80"/>
      </w:pPr>
      <w:r>
        <w:rPr>
          <w:rFonts w:ascii="Arial" w:cs="Arial" w:eastAsia="Arial" w:hAnsi="Arial"/>
          <w:b/>
          <w:bCs/>
          <w:color w:val="2E5FA3"/>
          <w:sz w:val="20"/>
          <w:szCs w:val="20"/>
        </w:rPr>
        <w:t xml:space="preserve">Step 1 — Paginate all Deal records</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GET https://api.hubapi.com/crm/v3/objects/deals</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?properties=dealname,amount,dealstage,pipeline,closedate,createdate,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hs_lastmodifieddate,hubspot_owner_id,hs_object_id,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dealtype,hs_closed_won_date,hs_deal_stage_probability,</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hs_forecast_category,hs_is_closed_won,hs_is_closed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&amp;limit=100</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&amp;after={cursor}</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Authorization: Bearer {token}</w:t>
            </w:r>
          </w:p>
        </w:tc>
      </w:tr>
    </w:tbl>
    <w:p>
      <w:pPr>
        <w:spacing w:after="80"/>
      </w:pPr>
      <w:r>
        <w:t xml:space="preserve"/>
      </w:r>
    </w:p>
    <w:p>
      <w:pPr>
        <w:spacing w:after="140" w:line="276"/>
      </w:pPr>
      <w:r>
        <w:rPr>
          <w:rFonts w:ascii="Arial" w:cs="Arial" w:eastAsia="Arial" w:hAnsi="Arial"/>
          <w:color w:val="1A1A1A"/>
          <w:sz w:val="20"/>
          <w:szCs w:val="20"/>
        </w:rPr>
        <w:t xml:space="preserve">Paginate using the paging.next.after cursor returned in each response until no next cursor is present. The maximum page size is 100 for the list endpoint. Archived deals (lost/deleted) are excluded by default; add &amp;archived=false to be explicit.</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Important: </w:t>
            </w:r>
            <w:r>
              <w:rPr>
                <w:rFonts w:ascii="Arial" w:cs="Arial" w:eastAsia="Arial" w:hAnsi="Arial"/>
                <w:color w:val="1A1A1A"/>
                <w:sz w:val="18"/>
                <w:szCs w:val="18"/>
              </w:rPr>
              <w:t xml:space="preserve">propertiesWithHistory is NOT supported on the search endpoint (/deals/search). For stage history, use a separate call pattern described in Section 3. You cannot combine filtered search with property history retrieval in a single API call.</w:t>
            </w:r>
          </w:p>
        </w:tc>
      </w:tr>
    </w:tbl>
    <w:p>
      <w:pPr>
        <w:spacing w:after="80"/>
      </w:pPr>
      <w:r>
        <w:t xml:space="preserve"/>
      </w:r>
    </w:p>
    <w:p>
      <w:pPr>
        <w:spacing w:before="200" w:after="80"/>
      </w:pPr>
      <w:r>
        <w:rPr>
          <w:rFonts w:ascii="Arial" w:cs="Arial" w:eastAsia="Arial" w:hAnsi="Arial"/>
          <w:b/>
          <w:bCs/>
          <w:color w:val="2E5FA3"/>
          <w:sz w:val="20"/>
          <w:szCs w:val="20"/>
        </w:rPr>
        <w:t xml:space="preserve">Step 2 — Fetch associated Contact IDs for deals (batch)</w:t>
      </w:r>
    </w:p>
    <w:p>
      <w:pPr>
        <w:spacing w:after="80"/>
      </w:pPr>
      <w:r>
        <w:t xml:space="preserve"/>
      </w:r>
    </w:p>
    <w:p>
      <w:pPr>
        <w:spacing w:after="140" w:line="276"/>
      </w:pPr>
      <w:r>
        <w:rPr>
          <w:rFonts w:ascii="Arial" w:cs="Arial" w:eastAsia="Arial" w:hAnsi="Arial"/>
          <w:color w:val="1A1A1A"/>
          <w:sz w:val="20"/>
          <w:szCs w:val="20"/>
        </w:rPr>
        <w:t xml:space="preserve">Once deal IDs are collected, batch-resolve associated contact IDs using the v3 Associations endpoint. Send up to 100 deal IDs per request.</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POST https://api.hubapi.com/crm/v3/associations/deals/contacts/batch/read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Authorization: Bearer {token}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Content-Type: application/json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"inputs":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"id": "1234567"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"id": "7654321"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w:t>
            </w:r>
          </w:p>
        </w:tc>
      </w:tr>
    </w:tbl>
    <w:p>
      <w:pPr>
        <w:spacing w:after="80"/>
      </w:pPr>
      <w:r>
        <w:t xml:space="preserve"/>
      </w:r>
    </w:p>
    <w:p>
      <w:pPr>
        <w:spacing w:after="140" w:line="276"/>
      </w:pPr>
      <w:r>
        <w:rPr>
          <w:rFonts w:ascii="Arial" w:cs="Arial" w:eastAsia="Arial" w:hAnsi="Arial"/>
          <w:color w:val="1A1A1A"/>
          <w:sz w:val="20"/>
          <w:szCs w:val="20"/>
        </w:rPr>
        <w:t xml:space="preserve">Response: for each deal ID, returns an array of associated contact IDs. Multiple contacts per deal are common.</w:t>
      </w:r>
    </w:p>
    <w:p>
      <w:pPr>
        <w:spacing w:after="80"/>
      </w:pPr>
      <w:r>
        <w:t xml:space="preserve"/>
      </w:r>
    </w:p>
    <w:p>
      <w:pPr>
        <w:spacing w:before="200" w:after="80"/>
      </w:pPr>
      <w:r>
        <w:rPr>
          <w:rFonts w:ascii="Arial" w:cs="Arial" w:eastAsia="Arial" w:hAnsi="Arial"/>
          <w:b/>
          <w:bCs/>
          <w:color w:val="2E5FA3"/>
          <w:sz w:val="20"/>
          <w:szCs w:val="20"/>
        </w:rPr>
        <w:t xml:space="preserve">Step 3 — Hydrate Contact email addresses (batch)</w:t>
      </w:r>
    </w:p>
    <w:p>
      <w:pPr>
        <w:spacing w:after="80"/>
      </w:pPr>
      <w:r>
        <w:t xml:space="preserve"/>
      </w:r>
    </w:p>
    <w:p>
      <w:pPr>
        <w:spacing w:after="140" w:line="276"/>
      </w:pPr>
      <w:r>
        <w:rPr>
          <w:rFonts w:ascii="Arial" w:cs="Arial" w:eastAsia="Arial" w:hAnsi="Arial"/>
          <w:color w:val="1A1A1A"/>
          <w:sz w:val="20"/>
          <w:szCs w:val="20"/>
        </w:rPr>
        <w:t xml:space="preserve">Resolve the contact IDs to email addresses using the Contacts batch read endpoint. Email address is the join key for all activity attribution.</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POST https://api.hubapi.com/crm/v3/objects/contacts/batch/read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Authorization: Bearer {token}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Content-Type: application/json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"properties": ["email", "firstname", "lastname", "jobtitle"],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"inputs":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"id": "8901234"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"id": "5678901"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w:t>
            </w:r>
          </w:p>
        </w:tc>
      </w:tr>
    </w:tbl>
    <w:p>
      <w:pPr>
        <w:spacing w:after="80"/>
      </w:pPr>
      <w:r>
        <w:t xml:space="preserve"/>
      </w:r>
    </w:p>
    <w:p>
      <w:pPr>
        <w:spacing w:before="200" w:after="80"/>
      </w:pPr>
      <w:r>
        <w:rPr>
          <w:rFonts w:ascii="Arial" w:cs="Arial" w:eastAsia="Arial" w:hAnsi="Arial"/>
          <w:b/>
          <w:bCs/>
          <w:color w:val="2E5FA3"/>
          <w:sz w:val="20"/>
          <w:szCs w:val="20"/>
        </w:rPr>
        <w:t xml:space="preserve">Step 4 — Resolve Owner names</w:t>
      </w:r>
    </w:p>
    <w:p>
      <w:pPr>
        <w:spacing w:after="80"/>
      </w:pPr>
      <w:r>
        <w:t xml:space="preserve"/>
      </w:r>
    </w:p>
    <w:p>
      <w:pPr>
        <w:spacing w:after="140" w:line="276"/>
      </w:pPr>
      <w:r>
        <w:rPr>
          <w:rFonts w:ascii="Arial" w:cs="Arial" w:eastAsia="Arial" w:hAnsi="Arial"/>
          <w:color w:val="1A1A1A"/>
          <w:sz w:val="20"/>
          <w:szCs w:val="20"/>
        </w:rPr>
        <w:t xml:space="preserve">hubspot_owner_id is an integer ID pointing to a HubSpot user. Resolve to a human-readable name and email via the Owners API.</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GET https://api.hubapi.com/crm/v3/owners</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?limit=100</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Authorization: Bearer {token}</w:t>
            </w:r>
          </w:p>
        </w:tc>
      </w:tr>
    </w:tbl>
    <w:p>
      <w:pPr>
        <w:spacing w:after="80"/>
      </w:pPr>
      <w:r>
        <w:t xml:space="preserve"/>
      </w:r>
    </w:p>
    <w:p>
      <w:pPr>
        <w:spacing w:after="140" w:line="276"/>
      </w:pPr>
      <w:r>
        <w:rPr>
          <w:rFonts w:ascii="Arial" w:cs="Arial" w:eastAsia="Arial" w:hAnsi="Arial"/>
          <w:color w:val="1A1A1A"/>
          <w:sz w:val="20"/>
          <w:szCs w:val="20"/>
        </w:rPr>
        <w:t xml:space="preserve">Build an in-memory owner lookup table (owner_id -&gt; {name, email}) and apply it to deal records. Owner records are small in number and can be cached for the duration of a sync run.</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2.3  Deal Properties — Field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Field Name</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Object / Endpoint</w:t>
            </w:r>
          </w:p>
        </w:tc>
        <w:tc>
          <w:tcPr>
            <w:tcW w:type="dxa" w:w="4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hs_object_id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Unique internal ID for the deal record. Use as the primary key in Staq's data model.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dealname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Human-readable name for the deal. Equivalent to Opportunity Name.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amount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value. String-formatted number. May be null if the rep has not entered a value.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dealstage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Current pipeline stage ID (portal-specific string, not a universal enum). Must be resolved against /crm/v3/pipelines/deals to get the human-readable label.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pipeline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Pipeline ID the deal belongs to. Also portal-specific. Resolve via /crm/v3/pipelines/deals.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closedate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Expected or actual close date (ISO 8601 timestamp). For closed-won deals, this is the revenue recognition date.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hs_closed_won_date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The timestamp when the deal was moved into a closed-won stage. More reliable than closedate for closed-won attribution.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createdate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Timestamp when the deal record was created. Equivalent to Opportunity CreatedDate.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hs_lastmodifieddate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Last update timestamp. Use as the incremental sync watermark.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hubspot_owner_id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Integer ID of the owning HubSpot user. Resolve via /crm/v3/owners. Equivalent to Opportunity OwnerId.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dealtype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New Business, Existing Business, or a custom value if the portal has customized this property. May be null.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hs_is_closed_won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Boolean. True if the deal is in a closed-won stage. Useful for filtering revenue-generating deals.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hs_is_closed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Boolean. True if the deal is in any closed stage (won or lost).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hs_deal_stage_probability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Numeric probability (0-100) assigned to the current stage. Populated from the pipeline stage configuration, not a user-entered field.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hs_forecast_category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Forecast category: omit, pipeline, best_case, commit, closed. Set manually or via automation. Requires Sales Hub Professional or Enterprise for full use.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description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Free-text deal description. Useful context but unstructured.</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Stage ID resolution: </w:t>
            </w:r>
            <w:r>
              <w:rPr>
                <w:rFonts w:ascii="Arial" w:cs="Arial" w:eastAsia="Arial" w:hAnsi="Arial"/>
                <w:color w:val="1A1A1A"/>
                <w:sz w:val="18"/>
                <w:szCs w:val="18"/>
              </w:rPr>
              <w:t xml:space="preserve">dealstage values are internal IDs specific to each HubSpot portal (e.g., "appointmentscheduled", "contractsent", or a UUID like "abc1234def"). They are NOT universal. Staq must fetch the pipeline configuration at sync time to map stage IDs to labels and closed-won/closed-lost flags.</w:t>
            </w:r>
          </w:p>
        </w:tc>
      </w:tr>
      <w:tr>
        <w:tc>
          <w:tcPr>
            <w:tcW w:type="dxa" w:w="9360"/>
            <w:tcBorders>
              <w:top w:val="none" w:color="FFFFFF" w:sz="0"/>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r>
          </w:p>
        </w:tc>
      </w:tr>
      <w:tr>
        <w:tc>
          <w:tcPr>
            <w:tcW w:type="dxa" w:w="9360"/>
            <w:tcBorders>
              <w:top w:val="none" w:color="FFFFFF" w:sz="0"/>
              <w:left w:val="single" w:color="E6A817" w:sz="6"/>
              <w:bottom w:val="single" w:color="E6A817" w:sz="3"/>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Retrieve pipeline and stage metadata: </w:t>
            </w:r>
            <w:r>
              <w:rPr>
                <w:rFonts w:ascii="Arial" w:cs="Arial" w:eastAsia="Arial" w:hAnsi="Arial"/>
                <w:color w:val="1A1A1A"/>
                <w:sz w:val="18"/>
                <w:szCs w:val="18"/>
              </w:rPr>
              <w:t xml:space="preserve">GET https://api.hubapi.com/crm/v3/pipelines/deals — returns all pipelines with their stages, labels, and probability values.</w:t>
            </w:r>
          </w:p>
        </w:tc>
      </w:tr>
    </w:tbl>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2.4  Contact Fields — Field Reference</w:t>
      </w:r>
    </w:p>
    <w:p>
      <w:pPr>
        <w:spacing w:after="80"/>
      </w:pPr>
      <w:r>
        <w:t xml:space="preserve"/>
      </w:r>
    </w:p>
    <w:p>
      <w:pPr>
        <w:spacing w:after="140" w:line="276"/>
      </w:pPr>
      <w:r>
        <w:rPr>
          <w:rFonts w:ascii="Arial" w:cs="Arial" w:eastAsia="Arial" w:hAnsi="Arial"/>
          <w:color w:val="1A1A1A"/>
          <w:sz w:val="20"/>
          <w:szCs w:val="20"/>
        </w:rPr>
        <w:t xml:space="preserve">Retrieve these fields in the batch contacts hydration call (Step 3 above). Contact email is the join key across all Staq revenue attribution.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Field Name</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Object / Endpoint</w:t>
            </w:r>
          </w:p>
        </w:tc>
        <w:tc>
          <w:tcPr>
            <w:tcW w:type="dxa" w:w="4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hs_object_id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Internal contact ID. Use as the foreign key between the deal-contact association and the contact record.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email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PRIMARY JOIN KEY. The contact's primary email address. This is what links activity records (calls, emails, meetings) back to the deal and to revenue.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firstname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First name of the contact.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lastname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Last name of the contact.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jobtitle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Job title. Useful for understanding buyer role but not equivalent to Salesforce's Contact Role field.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company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Company name as a text property on the contact record (denormalized). The associated Company object is the authoritative source.</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Contact email as join key — critical note: </w:t>
            </w:r>
            <w:r>
              <w:rPr>
                <w:rFonts w:ascii="Arial" w:cs="Arial" w:eastAsia="Arial" w:hAnsi="Arial"/>
                <w:color w:val="1A1A1A"/>
                <w:sz w:val="18"/>
                <w:szCs w:val="18"/>
              </w:rPr>
              <w:t xml:space="preserve">Activity records (calls, emails, meetings) are associated to contact objects by contact ID. To trace an activity back to a deal, the chain is: Activity → contact_id → email → deal association. There is no direct deal_id foreign key on most engagement records.</w:t>
            </w:r>
          </w:p>
        </w:tc>
      </w:tr>
      <w:tr>
        <w:tc>
          <w:tcPr>
            <w:tcW w:type="dxa" w:w="9360"/>
            <w:tcBorders>
              <w:top w:val="none" w:color="FFFFFF" w:sz="0"/>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r>
          </w:p>
        </w:tc>
      </w:tr>
      <w:tr>
        <w:tc>
          <w:tcPr>
            <w:tcW w:type="dxa" w:w="9360"/>
            <w:tcBorders>
              <w:top w:val="none" w:color="FFFFFF" w:sz="0"/>
              <w:left w:val="single" w:color="E6A817" w:sz="6"/>
              <w:bottom w:val="single" w:color="E6A817" w:sz="3"/>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Contacts with no email: </w:t>
            </w:r>
            <w:r>
              <w:rPr>
                <w:rFonts w:ascii="Arial" w:cs="Arial" w:eastAsia="Arial" w:hAnsi="Arial"/>
                <w:color w:val="1A1A1A"/>
                <w:sz w:val="18"/>
                <w:szCs w:val="18"/>
              </w:rPr>
              <w:t xml:space="preserve">HubSpot allows contact records without an email address. If email is null, that contact cannot be used as a revenue join key. Staq should flag these associations as unresolvable rather than dropping them silently.</w:t>
            </w:r>
          </w:p>
        </w:tc>
      </w:tr>
    </w:tbl>
    <w:p>
      <w:r>
        <w:br w:type="page"/>
      </w:r>
    </w:p>
    <w:p>
      <w:pPr>
        <w:pBdr>
          <w:bottom w:val="single" w:color="1A2B4A" w:sz="3"/>
        </w:pBdr>
        <w:shd w:fill="2E5FA3" w:val="clear"/>
        <w:spacing w:before="360" w:after="200"/>
      </w:pPr>
      <w:r>
        <w:rPr>
          <w:rFonts w:ascii="Arial" w:cs="Arial" w:eastAsia="Arial" w:hAnsi="Arial"/>
          <w:b/>
          <w:bCs/>
          <w:color w:val="FFFFFF"/>
          <w:sz w:val="26"/>
          <w:szCs w:val="26"/>
        </w:rPr>
        <w:t xml:space="preserve">3. Deal Stage History</w:t>
      </w:r>
    </w:p>
    <w:p>
      <w:pPr>
        <w:spacing w:after="80"/>
      </w:pPr>
      <w:r>
        <w:t xml:space="preserve"/>
      </w:r>
    </w:p>
    <w:p>
      <w:pPr>
        <w:spacing w:after="140" w:line="276"/>
      </w:pPr>
      <w:r>
        <w:rPr>
          <w:rFonts w:ascii="Arial" w:cs="Arial" w:eastAsia="Arial" w:hAnsi="Arial"/>
          <w:color w:val="1A1A1A"/>
          <w:sz w:val="20"/>
          <w:szCs w:val="20"/>
        </w:rPr>
        <w:t xml:space="preserve">Salesforce equivalent: OpportunityFieldHistory (specifically, StageName field history)</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3.1  Overview and Structural Difference from Salesforce</w:t>
      </w:r>
    </w:p>
    <w:p>
      <w:pPr>
        <w:spacing w:after="140" w:line="276"/>
      </w:pPr>
      <w:r>
        <w:rPr>
          <w:rFonts w:ascii="Arial" w:cs="Arial" w:eastAsia="Arial" w:hAnsi="Arial"/>
          <w:color w:val="1A1A1A"/>
          <w:sz w:val="20"/>
          <w:szCs w:val="20"/>
        </w:rPr>
        <w:t xml:space="preserve">In Salesforce, OpportunityFieldHistory is a dedicated child object queryable via SOQL with filtering, sorting, and bulk retrieval in a single query. HubSpot does not have an equivalent standalone history table accessible as a first-class object through the API.</w:t>
      </w:r>
    </w:p>
    <w:p>
      <w:pPr>
        <w:spacing w:after="80"/>
      </w:pPr>
      <w:r>
        <w:t xml:space="preserve"/>
      </w:r>
    </w:p>
    <w:p>
      <w:pPr>
        <w:spacing w:after="140" w:line="276"/>
      </w:pPr>
      <w:r>
        <w:rPr>
          <w:rFonts w:ascii="Arial" w:cs="Arial" w:eastAsia="Arial" w:hAnsi="Arial"/>
          <w:color w:val="1A1A1A"/>
          <w:sz w:val="20"/>
          <w:szCs w:val="20"/>
        </w:rPr>
        <w:t xml:space="preserve">HubSpot provides two mechanisms for stage history data, each with different trade-offs:</w:t>
      </w:r>
    </w:p>
    <w:p>
      <w:pPr>
        <w:spacing w:after="80"/>
      </w:pPr>
      <w:r>
        <w:t xml:space="preserve"/>
      </w:r>
    </w:p>
    <w:p>
      <w:pPr>
        <w:pStyle w:val="ListParagraph"/>
        <w:numPr>
          <w:ilvl w:val="0"/>
          <w:numId w:val="2"/>
        </w:numPr>
        <w:spacing w:after="80"/>
      </w:pPr>
      <w:r>
        <w:rPr>
          <w:rFonts w:ascii="Arial" w:cs="Arial" w:eastAsia="Arial" w:hAnsi="Arial"/>
          <w:color w:val="1A1A1A"/>
          <w:sz w:val="20"/>
          <w:szCs w:val="20"/>
        </w:rPr>
        <w:t xml:space="preserve">Property history via propertiesWithHistory query parameter — returns the full changelog for the dealstage property on each deal record, including previous values and timestamps.</w:t>
      </w:r>
    </w:p>
    <w:p>
      <w:pPr>
        <w:pStyle w:val="ListParagraph"/>
        <w:numPr>
          <w:ilvl w:val="0"/>
          <w:numId w:val="2"/>
        </w:numPr>
        <w:spacing w:after="80"/>
      </w:pPr>
      <w:r>
        <w:rPr>
          <w:rFonts w:ascii="Arial" w:cs="Arial" w:eastAsia="Arial" w:hAnsi="Arial"/>
          <w:color w:val="1A1A1A"/>
          <w:sz w:val="20"/>
          <w:szCs w:val="20"/>
        </w:rPr>
        <w:t xml:space="preserve">Stage calculated properties — pre-computed date-entered and date-exited properties per stage, available as standard properties on the deal record (requires Pro+ subscription for retroactive population).</w:t>
      </w:r>
    </w:p>
    <w:p>
      <w:pPr>
        <w:spacing w:after="80"/>
      </w:pPr>
      <w:r>
        <w:t xml:space="preserve"/>
      </w:r>
    </w:p>
    <w:p>
      <w:pPr>
        <w:spacing w:after="140" w:line="276"/>
      </w:pPr>
      <w:r>
        <w:rPr>
          <w:rFonts w:ascii="Arial" w:cs="Arial" w:eastAsia="Arial" w:hAnsi="Arial"/>
          <w:color w:val="1A1A1A"/>
          <w:sz w:val="20"/>
          <w:szCs w:val="20"/>
        </w:rPr>
        <w:t xml:space="preserve">The recommended approach for Staq is to use propertiesWithHistory on the deal list endpoint, paginating through deals and requesting dealstage history inline. This avoids a separate lookup per deal and returns the full movement audit trail.</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3.2  API Approach</w:t>
      </w:r>
    </w:p>
    <w:p>
      <w:pPr>
        <w:spacing w:before="200" w:after="80"/>
      </w:pPr>
      <w:r>
        <w:rPr>
          <w:rFonts w:ascii="Arial" w:cs="Arial" w:eastAsia="Arial" w:hAnsi="Arial"/>
          <w:b/>
          <w:bCs/>
          <w:color w:val="2E5FA3"/>
          <w:sz w:val="20"/>
          <w:szCs w:val="20"/>
        </w:rPr>
        <w:t xml:space="preserve">Option A — Property history inline (recommended)</w:t>
      </w:r>
    </w:p>
    <w:p>
      <w:pPr>
        <w:spacing w:after="80"/>
      </w:pPr>
      <w:r>
        <w:t xml:space="preserve"/>
      </w:r>
    </w:p>
    <w:p>
      <w:pPr>
        <w:spacing w:after="140" w:line="276"/>
      </w:pPr>
      <w:r>
        <w:rPr>
          <w:rFonts w:ascii="Arial" w:cs="Arial" w:eastAsia="Arial" w:hAnsi="Arial"/>
          <w:color w:val="1A1A1A"/>
          <w:sz w:val="20"/>
          <w:szCs w:val="20"/>
        </w:rPr>
        <w:t xml:space="preserve">Append propertiesWithHistory=dealstage,hubspot_owner_id to the deal list endpoint. This returns both current property values and the full historical changelog for those properties on each record. The maximum page size when using propertiesWithHistory is 50 records per request.</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GET https://api.hubapi.com/crm/v3/objects/deals</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?properties=dealname,amount,dealstage,pipeline,closedate,createdate,hubspot_owner_id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&amp;propertiesWithHistory=dealstage,hubspot_owner_id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&amp;limit=50</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&amp;after={cursor}</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Authorization: Bearer {token}</w:t>
            </w:r>
          </w:p>
        </w:tc>
      </w:tr>
    </w:tbl>
    <w:p>
      <w:pPr>
        <w:spacing w:after="80"/>
      </w:pPr>
      <w:r>
        <w:t xml:space="preserve"/>
      </w:r>
    </w:p>
    <w:p>
      <w:pPr>
        <w:spacing w:after="140" w:line="276"/>
      </w:pPr>
      <w:r>
        <w:rPr>
          <w:rFonts w:ascii="Arial" w:cs="Arial" w:eastAsia="Arial" w:hAnsi="Arial"/>
          <w:color w:val="1A1A1A"/>
          <w:sz w:val="20"/>
          <w:szCs w:val="20"/>
        </w:rPr>
        <w:t xml:space="preserve">The response includes a propertiesWithHistory object alongside the standard properties object on each deal:</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"id": "1234567",</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"properties":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"dealstage": "closedwon",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"hubspot_owner_id": "910901"</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"propertiesWithHistory":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"dealstage":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"value": "closedwon",          "timestamp": "2025-11-15T14:22:10Z", "sourceType": "CRM_UI", "sourceId": null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"value": "contractsent",        "timestamp": "2025-11-01T09:15:00Z", "sourceType": "CRM_UI", "sourceId": null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"value": "appointmentscheduled","timestamp": "2025-10-10T11:30:00Z", "sourceType": "WORKFLOW", "sourceId": "wf_abc123"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"value": "qualifiedtobuy",      "timestamp": "2025-09-28T16:00:00Z", "sourceType": "CRM_UI", "sourceId": null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"hubspot_owner_id":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"value": "910901", "timestamp": "2025-10-05T09:00:00Z", "sourceType": "CRM_UI"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"value": "880542", "timestamp": "2025-09-28T16:00:00Z", "sourceType": "CRM_UI"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w:t>
            </w:r>
          </w:p>
        </w:tc>
      </w:tr>
    </w:tbl>
    <w:p>
      <w:pPr>
        <w:spacing w:after="80"/>
      </w:pPr>
      <w:r>
        <w:t xml:space="preserve"/>
      </w:r>
    </w:p>
    <w:p>
      <w:pPr>
        <w:spacing w:after="140" w:line="276"/>
      </w:pPr>
      <w:r>
        <w:rPr>
          <w:rFonts w:ascii="Arial" w:cs="Arial" w:eastAsia="Arial" w:hAnsi="Arial"/>
          <w:color w:val="1A1A1A"/>
          <w:sz w:val="20"/>
          <w:szCs w:val="20"/>
        </w:rPr>
        <w:t xml:space="preserve">The history array is sorted newest-first. Each entry represents the moment the property was set to that value. To reconstruct a stage timeline, read the array in reverse — the oldest entry represents the initial stage.</w:t>
      </w:r>
    </w:p>
    <w:p>
      <w:pPr>
        <w:spacing w:after="80"/>
      </w:pPr>
      <w:r>
        <w:t xml:space="preserve"/>
      </w:r>
    </w:p>
    <w:p>
      <w:pPr>
        <w:spacing w:before="200" w:after="80"/>
      </w:pPr>
      <w:r>
        <w:rPr>
          <w:rFonts w:ascii="Arial" w:cs="Arial" w:eastAsia="Arial" w:hAnsi="Arial"/>
          <w:b/>
          <w:bCs/>
          <w:color w:val="2E5FA3"/>
          <w:sz w:val="20"/>
          <w:szCs w:val="20"/>
        </w:rPr>
        <w:t xml:space="preserve">Option B — Stage calculated properties (supplementary)</w:t>
      </w:r>
    </w:p>
    <w:p>
      <w:pPr>
        <w:spacing w:after="80"/>
      </w:pPr>
      <w:r>
        <w:t xml:space="preserve"/>
      </w:r>
    </w:p>
    <w:p>
      <w:pPr>
        <w:spacing w:after="140" w:line="276"/>
      </w:pPr>
      <w:r>
        <w:rPr>
          <w:rFonts w:ascii="Arial" w:cs="Arial" w:eastAsia="Arial" w:hAnsi="Arial"/>
          <w:color w:val="1A1A1A"/>
          <w:sz w:val="20"/>
          <w:szCs w:val="20"/>
        </w:rPr>
        <w:t xml:space="preserve">HubSpot pre-computes per-stage date-entered, date-exited, and time-in-stage properties for each deal. These are available as standard deal properties and can be pulled in the main deal sync without the propertiesWithHistory overhead. They are best used for aggregate analysis (time-in-stage reporting) rather than raw audit trail reconstruction.</w:t>
      </w:r>
    </w:p>
    <w:p>
      <w:pPr>
        <w:spacing w:after="80"/>
      </w:pPr>
      <w:r>
        <w:t xml:space="preserve"/>
      </w:r>
    </w:p>
    <w:p>
      <w:pPr>
        <w:spacing w:after="140" w:line="276"/>
      </w:pPr>
      <w:r>
        <w:rPr>
          <w:rFonts w:ascii="Arial" w:cs="Arial" w:eastAsia="Arial" w:hAnsi="Arial"/>
          <w:color w:val="1A1A1A"/>
          <w:sz w:val="20"/>
          <w:szCs w:val="20"/>
        </w:rPr>
        <w:t xml:space="preserve">Property naming convention: hs_date_entered_{stageId}, hs_date_exited_{stageId}, hs_time_in_{stageId}. The stageId token is the portal-specific stage ID string.</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For a portal with a stage ID "appointmentscheduled":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GET https://api.hubapi.com/crm/v3/objects/deals/{dealId}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?properties=hs_date_entered_appointmentscheduled,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hs_date_exited_appointmentscheduled,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hs_time_in_appointmentscheduled,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hs_date_entered_closedwon,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hs_date_exited_closedwon</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Authorization: Bearer {token}</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Subscription gate: </w:t>
            </w:r>
            <w:r>
              <w:rPr>
                <w:rFonts w:ascii="Arial" w:cs="Arial" w:eastAsia="Arial" w:hAnsi="Arial"/>
                <w:color w:val="1A1A1A"/>
                <w:sz w:val="18"/>
                <w:szCs w:val="18"/>
              </w:rPr>
              <w:t xml:space="preserve">Stage calculated properties are available on all plans, but retroactive population of historical values requires Sales Hub Professional or Enterprise. On Starter plans, these properties only update going forward from when the subscription was activated.</w:t>
            </w:r>
          </w:p>
        </w:tc>
      </w:tr>
    </w:tbl>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3.3  Stage History Fields — Field Reference</w:t>
      </w:r>
    </w:p>
    <w:p>
      <w:pPr>
        <w:spacing w:after="80"/>
      </w:pPr>
      <w:r>
        <w:t xml:space="preserve"/>
      </w:r>
    </w:p>
    <w:p>
      <w:pPr>
        <w:spacing w:after="140" w:line="276"/>
      </w:pPr>
      <w:r>
        <w:rPr>
          <w:rFonts w:ascii="Arial" w:cs="Arial" w:eastAsia="Arial" w:hAnsi="Arial"/>
          <w:color w:val="1A1A1A"/>
          <w:sz w:val="20"/>
          <w:szCs w:val="20"/>
        </w:rPr>
        <w:t xml:space="preserve">The fields below describe the structure of each history entry returned in propertiesWithHistory for the dealstage property.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Field Name</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Object / Endpoint</w:t>
            </w:r>
          </w:p>
        </w:tc>
        <w:tc>
          <w:tcPr>
            <w:tcW w:type="dxa" w:w="4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 (parent)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The hs_object_id of the deal this history entry belongs to. Added by Staq during ETL to link history rows back to the deal.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value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propertiesWithHistory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The stage ID the deal moved into at this timestamp. Resolve against pipeline configuration to get the human-readable label and whether the stage is closed-won or closed-lost.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timestamp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propertiesWithHistory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ISO 8601 UTC timestamp of when the deal entered this stage. Equivalent to SystemModstamp in Salesforce history.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sourceType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propertiesWithHistory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What triggered the stage change: CRM_UI (manual), WORKFLOW, INTEGRATION, IMPORT, SALESFORCE (sync), SEQUENCE, API. Useful for distinguishing rep-driven vs. automated stage changes.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sourceId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propertiesWithHistory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Identifier of the workflow or integration that caused the change, when sourceType is WORKFLOW or INTEGRATION. Null for manual changes.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hubspot_owner_id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propertiesWithHistory</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When included via propertiesWithHistory, shows who owned the deal at the time of each stage change. Requires requesting both dealstage and hubspot_owner_id history in the same call.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hs_date_entered_{stageId}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Pre-computed date the deal entered the named stage. Available per stage. Requires stage IDs to be resolved from pipeline config first.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hs_date_exited_{stageId}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Pre-computed date the deal exited the named stage. Null if the deal is currently in that stage.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hs_time_in_{stageId}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Pre-computed latest duration in the named stage (milliseconds). Does not accumulate across re-entries — use cumulative_time variant for that.</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propertiesWithHistory is not available on the search endpoint: </w:t>
            </w:r>
            <w:r>
              <w:rPr>
                <w:rFonts w:ascii="Arial" w:cs="Arial" w:eastAsia="Arial" w:hAnsi="Arial"/>
                <w:color w:val="1A1A1A"/>
                <w:sz w:val="18"/>
                <w:szCs w:val="18"/>
              </w:rPr>
              <w:t xml:space="preserve">You cannot filter deals by arbitrary criteria AND retrieve property history in the same API call. The standard pagination pattern (list all deals, paginate with after cursor) is the only way to retrieve stage history in bulk.</w:t>
            </w:r>
          </w:p>
        </w:tc>
      </w:tr>
      <w:tr>
        <w:tc>
          <w:tcPr>
            <w:tcW w:type="dxa" w:w="9360"/>
            <w:tcBorders>
              <w:top w:val="none" w:color="FFFFFF" w:sz="0"/>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r>
          </w:p>
        </w:tc>
      </w:tr>
      <w:tr>
        <w:tc>
          <w:tcPr>
            <w:tcW w:type="dxa" w:w="9360"/>
            <w:tcBorders>
              <w:top w:val="none" w:color="FFFFFF" w:sz="0"/>
              <w:left w:val="single" w:color="E6A817" w:sz="6"/>
              <w:bottom w:val="single" w:color="E6A817" w:sz="3"/>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History depth: </w:t>
            </w:r>
            <w:r>
              <w:rPr>
                <w:rFonts w:ascii="Arial" w:cs="Arial" w:eastAsia="Arial" w:hAnsi="Arial"/>
                <w:color w:val="1A1A1A"/>
                <w:sz w:val="18"/>
                <w:szCs w:val="18"/>
              </w:rPr>
              <w:t xml:space="preserve">HubSpot does not publish a documented limit on the number of historical values returned per property per record. In practice, the full lifecycle of a deal is returned. However, for very long-lived deals with many stage changes, validate that the history array is complete by cross-referencing against the stage calculated properties.</w:t>
            </w:r>
          </w:p>
        </w:tc>
      </w:tr>
    </w:tbl>
    <w:p>
      <w:r>
        <w:br w:type="page"/>
      </w:r>
    </w:p>
    <w:p>
      <w:pPr>
        <w:pBdr>
          <w:bottom w:val="single" w:color="1A2B4A" w:sz="3"/>
        </w:pBdr>
        <w:shd w:fill="2E5FA3" w:val="clear"/>
        <w:spacing w:before="360" w:after="200"/>
      </w:pPr>
      <w:r>
        <w:rPr>
          <w:rFonts w:ascii="Arial" w:cs="Arial" w:eastAsia="Arial" w:hAnsi="Arial"/>
          <w:b/>
          <w:bCs/>
          <w:color w:val="FFFFFF"/>
          <w:sz w:val="26"/>
          <w:szCs w:val="26"/>
        </w:rPr>
        <w:t xml:space="preserve">4. Activity Data — Calls, Emails, and Meetings</w:t>
      </w:r>
    </w:p>
    <w:p>
      <w:pPr>
        <w:spacing w:after="80"/>
      </w:pPr>
      <w:r>
        <w:t xml:space="preserve"/>
      </w:r>
    </w:p>
    <w:p>
      <w:pPr>
        <w:spacing w:after="140" w:line="276"/>
      </w:pPr>
      <w:r>
        <w:rPr>
          <w:rFonts w:ascii="Arial" w:cs="Arial" w:eastAsia="Arial" w:hAnsi="Arial"/>
          <w:color w:val="1A1A1A"/>
          <w:sz w:val="20"/>
          <w:szCs w:val="20"/>
        </w:rPr>
        <w:t xml:space="preserve">Salesforce equivalent: Task (calls, emails, logged activities) and Event (meetings, calendar items)</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4.1  Overview and Structural Difference from Salesforce</w:t>
      </w:r>
    </w:p>
    <w:p>
      <w:pPr>
        <w:spacing w:after="140" w:line="276"/>
      </w:pPr>
      <w:r>
        <w:rPr>
          <w:rFonts w:ascii="Arial" w:cs="Arial" w:eastAsia="Arial" w:hAnsi="Arial"/>
          <w:color w:val="1A1A1A"/>
          <w:sz w:val="20"/>
          <w:szCs w:val="20"/>
        </w:rPr>
        <w:t xml:space="preserve">In Salesforce, Tasks and Events are sub-objects with a WhoId (contact) and WhatId (opportunity) field, creating a direct two-way foreign key between the activity, the person, and the deal. In HubSpot, activities (called engagements) are first-class CRM objects associated to contacts and deals through the same generic Associations framework used everywhere else in the CRM.</w:t>
      </w:r>
    </w:p>
    <w:p>
      <w:pPr>
        <w:spacing w:after="80"/>
      </w:pPr>
      <w:r>
        <w:t xml:space="preserve"/>
      </w:r>
    </w:p>
    <w:p>
      <w:pPr>
        <w:spacing w:after="140" w:line="276"/>
      </w:pPr>
      <w:r>
        <w:rPr>
          <w:rFonts w:ascii="Arial" w:cs="Arial" w:eastAsia="Arial" w:hAnsi="Arial"/>
          <w:color w:val="1A1A1A"/>
          <w:sz w:val="20"/>
          <w:szCs w:val="20"/>
        </w:rPr>
        <w:t xml:space="preserve">This means:</w:t>
      </w:r>
    </w:p>
    <w:p>
      <w:pPr>
        <w:pStyle w:val="ListParagraph"/>
        <w:numPr>
          <w:ilvl w:val="0"/>
          <w:numId w:val="2"/>
        </w:numPr>
        <w:spacing w:after="80"/>
      </w:pPr>
      <w:r>
        <w:rPr>
          <w:rFonts w:ascii="Arial" w:cs="Arial" w:eastAsia="Arial" w:hAnsi="Arial"/>
          <w:color w:val="1A1A1A"/>
          <w:sz w:val="20"/>
          <w:szCs w:val="20"/>
        </w:rPr>
        <w:t xml:space="preserve">Calls, emails, and meetings are separate object types, each with their own endpoint and property schema.</w:t>
      </w:r>
    </w:p>
    <w:p>
      <w:pPr>
        <w:pStyle w:val="ListParagraph"/>
        <w:numPr>
          <w:ilvl w:val="0"/>
          <w:numId w:val="2"/>
        </w:numPr>
        <w:spacing w:after="80"/>
      </w:pPr>
      <w:r>
        <w:rPr>
          <w:rFonts w:ascii="Arial" w:cs="Arial" w:eastAsia="Arial" w:hAnsi="Arial"/>
          <w:color w:val="1A1A1A"/>
          <w:sz w:val="20"/>
          <w:szCs w:val="20"/>
        </w:rPr>
        <w:t xml:space="preserve">An activity is associated to a deal by a deal-to-engagement association edge, not a WhatId column.</w:t>
      </w:r>
    </w:p>
    <w:p>
      <w:pPr>
        <w:pStyle w:val="ListParagraph"/>
        <w:numPr>
          <w:ilvl w:val="0"/>
          <w:numId w:val="2"/>
        </w:numPr>
        <w:spacing w:after="80"/>
      </w:pPr>
      <w:r>
        <w:rPr>
          <w:rFonts w:ascii="Arial" w:cs="Arial" w:eastAsia="Arial" w:hAnsi="Arial"/>
          <w:color w:val="1A1A1A"/>
          <w:sz w:val="20"/>
          <w:szCs w:val="20"/>
        </w:rPr>
        <w:t xml:space="preserve">An activity is associated to a contact by a contact-to-engagement association edge.</w:t>
      </w:r>
    </w:p>
    <w:p>
      <w:pPr>
        <w:pStyle w:val="ListParagraph"/>
        <w:numPr>
          <w:ilvl w:val="0"/>
          <w:numId w:val="2"/>
        </w:numPr>
        <w:spacing w:after="80"/>
      </w:pPr>
      <w:r>
        <w:rPr>
          <w:rFonts w:ascii="Arial" w:cs="Arial" w:eastAsia="Arial" w:hAnsi="Arial"/>
          <w:color w:val="1A1A1A"/>
          <w:sz w:val="20"/>
          <w:szCs w:val="20"/>
        </w:rPr>
        <w:t xml:space="preserve">An engagement can be associated to both a deal and a contact simultaneously, or to only one, or to neither.</w:t>
      </w:r>
    </w:p>
    <w:p>
      <w:pPr>
        <w:spacing w:after="80"/>
      </w:pPr>
      <w:r>
        <w:t xml:space="preserve"/>
      </w:r>
    </w:p>
    <w:p>
      <w:pPr>
        <w:spacing w:after="140" w:line="276"/>
      </w:pPr>
      <w:r>
        <w:rPr>
          <w:rFonts w:ascii="Arial" w:cs="Arial" w:eastAsia="Arial" w:hAnsi="Arial"/>
          <w:color w:val="1A1A1A"/>
          <w:sz w:val="20"/>
          <w:szCs w:val="20"/>
        </w:rPr>
        <w:t xml:space="preserve">The correct pattern for retrieving all activities that occurred during a deal's lifecycle is to query each engagement type (calls, emails, meetings) filtered by associated deal ID, or to pull all engagements and join through contact email.</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4.2  Recommended API Approach</w:t>
      </w:r>
    </w:p>
    <w:p>
      <w:pPr>
        <w:spacing w:after="140" w:line="276"/>
      </w:pPr>
      <w:r>
        <w:rPr>
          <w:rFonts w:ascii="Arial" w:cs="Arial" w:eastAsia="Arial" w:hAnsi="Arial"/>
          <w:color w:val="1A1A1A"/>
          <w:sz w:val="20"/>
          <w:szCs w:val="20"/>
        </w:rPr>
        <w:t xml:space="preserve">Use the CRM Objects API v3 for all three engagement types. The legacy v1 Engagements API (/engagements/v1/engagements) is deprecated and should not be used for new implementations. The v3 endpoints for each type are independently searchable and paginate consistently.</w:t>
      </w:r>
    </w:p>
    <w:p>
      <w:pPr>
        <w:spacing w:after="80"/>
      </w:pPr>
      <w:r>
        <w:t xml:space="preserve"/>
      </w:r>
    </w:p>
    <w:p>
      <w:pPr>
        <w:spacing w:after="140" w:line="276"/>
      </w:pPr>
      <w:r>
        <w:rPr>
          <w:rFonts w:ascii="Arial" w:cs="Arial" w:eastAsia="Arial" w:hAnsi="Arial"/>
          <w:color w:val="1A1A1A"/>
          <w:sz w:val="20"/>
          <w:szCs w:val="20"/>
        </w:rPr>
        <w:t xml:space="preserve">Endpoint pattern:</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Calls:    /crm/v3/objects/calls</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Emails:   /crm/v3/objects/emails</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Meetings: /crm/v3/objects/meetings</w:t>
            </w:r>
          </w:p>
        </w:tc>
      </w:tr>
    </w:tbl>
    <w:p>
      <w:pPr>
        <w:spacing w:after="80"/>
      </w:pPr>
      <w:r>
        <w:t xml:space="preserve"/>
      </w:r>
    </w:p>
    <w:p>
      <w:pPr>
        <w:spacing w:before="200" w:after="80"/>
      </w:pPr>
      <w:r>
        <w:rPr>
          <w:rFonts w:ascii="Arial" w:cs="Arial" w:eastAsia="Arial" w:hAnsi="Arial"/>
          <w:b/>
          <w:bCs/>
          <w:color w:val="2E5FA3"/>
          <w:sz w:val="20"/>
          <w:szCs w:val="20"/>
        </w:rPr>
        <w:t xml:space="preserve">Search by associated deal ID</w:t>
      </w:r>
    </w:p>
    <w:p>
      <w:pPr>
        <w:spacing w:after="80"/>
      </w:pPr>
      <w:r>
        <w:t xml:space="preserve"/>
      </w:r>
    </w:p>
    <w:p>
      <w:pPr>
        <w:spacing w:after="140" w:line="276"/>
      </w:pPr>
      <w:r>
        <w:rPr>
          <w:rFonts w:ascii="Arial" w:cs="Arial" w:eastAsia="Arial" w:hAnsi="Arial"/>
          <w:color w:val="1A1A1A"/>
          <w:sz w:val="20"/>
          <w:szCs w:val="20"/>
        </w:rPr>
        <w:t xml:space="preserve">To retrieve all activities associated with a specific deal, use the search endpoint with an associations filter. This is the most efficient pattern when processing a targeted set of deals.</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POST https://api.hubapi.com/crm/v3/objects/calls/search</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Authorization: Bearer {token}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Content-Type: application/json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"filterGroups":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"filters":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"propertyName": "associations.deal",</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"operator": "EQ",</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"value": "1234567"</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"properties":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"hs_timestamp", "hs_call_title", "hs_call_duration",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"hs_call_direction", "hs_call_disposition", "hs_call_body",</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"hubspot_owner_id", "hs_activity_type"</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"limit": 100</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w:t>
            </w:r>
          </w:p>
        </w:tc>
      </w:tr>
    </w:tbl>
    <w:p>
      <w:pPr>
        <w:spacing w:after="80"/>
      </w:pPr>
      <w:r>
        <w:t xml:space="preserve"/>
      </w:r>
    </w:p>
    <w:p>
      <w:pPr>
        <w:spacing w:after="140" w:line="276"/>
      </w:pPr>
      <w:r>
        <w:rPr>
          <w:rFonts w:ascii="Arial" w:cs="Arial" w:eastAsia="Arial" w:hAnsi="Arial"/>
          <w:color w:val="1A1A1A"/>
          <w:sz w:val="20"/>
          <w:szCs w:val="20"/>
        </w:rPr>
        <w:t xml:space="preserve">Repeat the same pattern substituting /calls/search with /emails/search and /meetings/search and adjusting the properties array as described in the field tables below.</w:t>
      </w:r>
    </w:p>
    <w:p>
      <w:pPr>
        <w:spacing w:after="80"/>
      </w:pPr>
      <w:r>
        <w:t xml:space="preserve"/>
      </w:r>
    </w:p>
    <w:p>
      <w:pPr>
        <w:spacing w:before="200" w:after="80"/>
      </w:pPr>
      <w:r>
        <w:rPr>
          <w:rFonts w:ascii="Arial" w:cs="Arial" w:eastAsia="Arial" w:hAnsi="Arial"/>
          <w:b/>
          <w:bCs/>
          <w:color w:val="2E5FA3"/>
          <w:sz w:val="20"/>
          <w:szCs w:val="20"/>
        </w:rPr>
        <w:t xml:space="preserve">Full pull with association hydration (bulk pattern)</w:t>
      </w:r>
    </w:p>
    <w:p>
      <w:pPr>
        <w:spacing w:after="80"/>
      </w:pPr>
      <w:r>
        <w:t xml:space="preserve"/>
      </w:r>
    </w:p>
    <w:p>
      <w:pPr>
        <w:spacing w:after="140" w:line="276"/>
      </w:pPr>
      <w:r>
        <w:rPr>
          <w:rFonts w:ascii="Arial" w:cs="Arial" w:eastAsia="Arial" w:hAnsi="Arial"/>
          <w:color w:val="1A1A1A"/>
          <w:sz w:val="20"/>
          <w:szCs w:val="20"/>
        </w:rPr>
        <w:t xml:space="preserve">For a full historical sync, pull all engagements by type and hydrate associations afterward. This avoids N+1 search calls per deal.</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Step 1: Pull all calls with association data</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GET https://api.hubapi.com/crm/v3/objects/calls</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?properties=hs_timestamp,hs_call_title,hs_call_duration,</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hs_call_direction,hs_call_disposition,hs_call_body,</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hubspot_owner_id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&amp;associations=contacts,deals</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&amp;limit=100</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&amp;after={cursor}</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Step 2: From the returned association IDs, join contacts -&gt; email</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and deals -&gt; deal record to complete the revenue chain</w:t>
            </w:r>
          </w:p>
        </w:tc>
      </w:tr>
    </w:tbl>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4.3  Calls — Field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Field Name</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Object / Endpoint</w:t>
            </w:r>
          </w:p>
        </w:tc>
        <w:tc>
          <w:tcPr>
            <w:tcW w:type="dxa" w:w="4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hs_object_id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Unique ID for the call record.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hs_timestamp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Timestamp of when the call occurred (ISO 8601). Use this for deal-cycle alignment, not createdate.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hs_call_title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Subject or title of the call. May be null for auto-logged calls.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hs_call_duration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Duration of the call in milliseconds. Divide by 60000 for minutes.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hs_call_direction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INBOUND or OUTBOUND. Indicates whether the rep placed or received the call.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hs_call_disposition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Outcome of the call: Connected, Left live message, Left voicemail, No answer, Wrong number, Busy, etc. Values are portal-configurable internal IDs — resolve against /crm/v3/properties/calls/hs_call_disposition for labels.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hs_call_body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Rep's notes on the call. Free text.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hs_activity_type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Activity sub-type. Usually null for calls unless the portal has configured custom activity types.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hubspot_owner_id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Call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HubSpot user ID of the rep who logged the call. Resolve via /crm/v3/owners.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associations.contacts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 API</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IDs associated with this call. Resolve to email addresses for revenue join. Included in response when &amp;associations=contacts is appended to the list request.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associations.deals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 API</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IDs associated with this call. Use this as the direct deal linkage.</w:t>
            </w:r>
          </w:p>
        </w:tc>
      </w:tr>
    </w:tbl>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4.4  One-to-One Emails — Field Reference</w:t>
      </w:r>
    </w:p>
    <w:p>
      <w:pPr>
        <w:spacing w:after="80"/>
      </w:pPr>
      <w:r>
        <w:t xml:space="preserve"/>
      </w:r>
    </w:p>
    <w:p>
      <w:pPr>
        <w:spacing w:after="140" w:line="276"/>
      </w:pPr>
      <w:r>
        <w:rPr>
          <w:rFonts w:ascii="Arial" w:cs="Arial" w:eastAsia="Arial" w:hAnsi="Arial"/>
          <w:color w:val="1A1A1A"/>
          <w:sz w:val="20"/>
          <w:szCs w:val="20"/>
        </w:rPr>
        <w:t xml:space="preserve">These are sales emails logged from a connected inbox, the HubSpot Sales Extension, or the Sequences tool — not bulk marketing emails. Marketing emails are in the Marketing Hub object model and out of scope here.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Field Name</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Object / Endpoint</w:t>
            </w:r>
          </w:p>
        </w:tc>
        <w:tc>
          <w:tcPr>
            <w:tcW w:type="dxa" w:w="4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hs_object_id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Unique ID for the email record.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hs_timestamp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Timestamp of when the email was sent or logged.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hs_email_subject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Subject line of the email.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hs_email_direction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INBOUND (contact replied) or OUTBOUND (rep sent). EMAIL_REPLY is a common sub-type.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hs_email_status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Delivery status: SENT, BOUNCED, FAILED. May be null for manually logged emails.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hs_email_html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HTML body of the email. May contain PII — handle according to customer data policy. Often large; consider whether Staq needs the body content for its use case.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hs_email_text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Plain-text version of the email body.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hs_email_from_email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Sender email address. For outbound emails, this is the rep's address.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hs_email_to_email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Recipient email address. The contact's email. Directly usable as a join key without the Associations API.</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hubspot_owner_id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Email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HubSpot user who sent or logged the email.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associations.contacts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 API</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IDs linked to this email engagement.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associations.deals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 API</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IDs linked to this email engagement.</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hs_email_to_email as a direct join key: </w:t>
            </w:r>
            <w:r>
              <w:rPr>
                <w:rFonts w:ascii="Arial" w:cs="Arial" w:eastAsia="Arial" w:hAnsi="Arial"/>
                <w:color w:val="1A1A1A"/>
                <w:sz w:val="18"/>
                <w:szCs w:val="18"/>
              </w:rPr>
              <w:t xml:space="preserve">Unlike calls, email records carry the recipient address as a property. This means Staq can join outbound emails to contacts and deals without a separate Associations API call, using hs_email_to_email as a direct match against contact email. Validate this field is populated before relying on it — manually logged emails may not populate hs_email_to_email.</w:t>
            </w:r>
          </w:p>
        </w:tc>
      </w:tr>
    </w:tbl>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4.5  Meetings — Field Reference</w:t>
      </w:r>
    </w:p>
    <w:p>
      <w:pPr>
        <w:spacing w:after="80"/>
      </w:pPr>
      <w:r>
        <w:t xml:space="preserve"/>
      </w:r>
    </w:p>
    <w:p>
      <w:pPr>
        <w:spacing w:after="140" w:line="276"/>
      </w:pPr>
      <w:r>
        <w:rPr>
          <w:rFonts w:ascii="Arial" w:cs="Arial" w:eastAsia="Arial" w:hAnsi="Arial"/>
          <w:color w:val="1A1A1A"/>
          <w:sz w:val="20"/>
          <w:szCs w:val="20"/>
        </w:rPr>
        <w:t xml:space="preserve">Meetings include sessions booked via the HubSpot Meetings scheduling tool, manually logged meetings, and meetings synced from connected Google or Office 365 calendars.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Field Name</w:t>
            </w:r>
          </w:p>
        </w:tc>
        <w:tc>
          <w:tcPr>
            <w:tcW w:type="dxa" w:w="24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Object / Endpoint</w:t>
            </w:r>
          </w:p>
        </w:tc>
        <w:tc>
          <w:tcPr>
            <w:tcW w:type="dxa" w:w="4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2B4A"/>
                <w:sz w:val="18"/>
                <w:szCs w:val="18"/>
              </w:rPr>
              <w:t xml:space="preserve">Notes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hs_object_id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Unique ID for the meeting record. Primary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hs_timestamp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Timestamp of when the meeting occurred (or was scheduled).</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hs_meeting_title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Title/subject of the meeting.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hs_meeting_body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Description or notes on the meeting.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hs_meeting_start_time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Scheduled start time (ISO 8601). Distinct from hs_timestamp for meetings booked in advance.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hs_meeting_end_time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Scheduled end time. Use with start time to calculate planned duration.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hs_meeting_outcome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result: SCHEDULED, COMPLETED, CANCELLED, NO_SHOW, RESCHEDULED. May be null for manually logged meetings.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hs_meeting_location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Location string or conferencing URL. May be null.</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hs_activity_type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Activity sub-type if portal uses custom activity types.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Courier New" w:cs="Courier New" w:eastAsia="Courier New" w:hAnsi="Courier New"/>
                <w:color w:val="1A1A1A"/>
                <w:sz w:val="17"/>
                <w:szCs w:val="17"/>
              </w:rPr>
              <w:t xml:space="preserve">hubspot_owner_id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Meeting Object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HubSpot user who owns or logged the meeting.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associations.contacts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 API</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Contact IDs linked to this meeting. Source of the email join key.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associations.deals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Associations API</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color w:val="1A1A1A"/>
                <w:sz w:val="18"/>
                <w:szCs w:val="18"/>
              </w:rPr>
              <w:t xml:space="preserve">Deal IDs linked to this meeting.</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Calendar-synced meetings: </w:t>
            </w:r>
            <w:r>
              <w:rPr>
                <w:rFonts w:ascii="Arial" w:cs="Arial" w:eastAsia="Arial" w:hAnsi="Arial"/>
                <w:color w:val="1A1A1A"/>
                <w:sz w:val="18"/>
                <w:szCs w:val="18"/>
              </w:rPr>
              <w:t xml:space="preserve">Meetings booked via Google Calendar or Office 365 sync are logged automatically as meeting engagements in HubSpot. However, the deal association is only present if the rep has associated the meeting to a deal in HubSpot. Calendar-synced meetings with no deal association will appear in the engagement records but cannot be linked to revenue without rep intervention.</w:t>
            </w:r>
          </w:p>
        </w:tc>
      </w:tr>
      <w:tr>
        <w:tc>
          <w:tcPr>
            <w:tcW w:type="dxa" w:w="9360"/>
            <w:tcBorders>
              <w:top w:val="none" w:color="FFFFFF" w:sz="0"/>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r>
          </w:p>
        </w:tc>
      </w:tr>
      <w:tr>
        <w:tc>
          <w:tcPr>
            <w:tcW w:type="dxa" w:w="9360"/>
            <w:tcBorders>
              <w:top w:val="none" w:color="FFFFFF" w:sz="0"/>
              <w:left w:val="single" w:color="E6A817" w:sz="6"/>
              <w:bottom w:val="single" w:color="E6A817" w:sz="3"/>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Meetings tool requirement: </w:t>
            </w:r>
            <w:r>
              <w:rPr>
                <w:rFonts w:ascii="Arial" w:cs="Arial" w:eastAsia="Arial" w:hAnsi="Arial"/>
                <w:color w:val="1A1A1A"/>
                <w:sz w:val="18"/>
                <w:szCs w:val="18"/>
              </w:rPr>
              <w:t xml:space="preserve">Scheduling meetings on behalf of another user (teammate) requires Sales or Service Hub Professional or Enterprise. If the portal is on Starter, meetings may only be logged manually.</w:t>
            </w:r>
          </w:p>
        </w:tc>
      </w:tr>
    </w:tbl>
    <w:p>
      <w:r>
        <w:br w:type="page"/>
      </w:r>
    </w:p>
    <w:p>
      <w:pPr>
        <w:pBdr>
          <w:bottom w:val="single" w:color="1A2B4A" w:sz="3"/>
        </w:pBdr>
        <w:shd w:fill="2E5FA3" w:val="clear"/>
        <w:spacing w:before="360" w:after="200"/>
      </w:pPr>
      <w:r>
        <w:rPr>
          <w:rFonts w:ascii="Arial" w:cs="Arial" w:eastAsia="Arial" w:hAnsi="Arial"/>
          <w:b/>
          <w:bCs/>
          <w:color w:val="FFFFFF"/>
          <w:sz w:val="26"/>
          <w:szCs w:val="26"/>
        </w:rPr>
        <w:t xml:space="preserve">5. Join Logic — Linking Activity to Revenue</w:t>
      </w:r>
    </w:p>
    <w:p>
      <w:pPr>
        <w:spacing w:after="80"/>
      </w:pPr>
      <w:r>
        <w:t xml:space="preserve"/>
      </w:r>
    </w:p>
    <w:p>
      <w:pPr>
        <w:spacing w:after="140" w:line="276"/>
      </w:pPr>
      <w:r>
        <w:rPr>
          <w:rFonts w:ascii="Arial" w:cs="Arial" w:eastAsia="Arial" w:hAnsi="Arial"/>
          <w:color w:val="1A1A1A"/>
          <w:sz w:val="20"/>
          <w:szCs w:val="20"/>
        </w:rPr>
        <w:t xml:space="preserve">This section defines the relationship graph Staq must construct to connect rep-level activity records back to deal outcomes and ultimately to revenue.</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5.1  The Revenue Chain</w:t>
      </w:r>
    </w:p>
    <w:p>
      <w:pPr>
        <w:spacing w:after="140" w:line="276"/>
      </w:pPr>
      <w:r>
        <w:rPr>
          <w:rFonts w:ascii="Arial" w:cs="Arial" w:eastAsia="Arial" w:hAnsi="Arial"/>
          <w:color w:val="1A1A1A"/>
          <w:sz w:val="20"/>
          <w:szCs w:val="20"/>
        </w:rPr>
        <w:t xml:space="preserve">The core attribution chain in HubSpot is:</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Activity (call / email / meeting)</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associated contact_id   ──&gt;  Contact.hs_object_id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Contact.email         (JOIN KEY)</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associated deal_id      ──&gt;  Deal.hs_object_id</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 Deal.amount, Deal.dealstage, Deal.hs_is_closed_won</w:t>
            </w:r>
          </w:p>
        </w:tc>
      </w:tr>
    </w:tbl>
    <w:p>
      <w:pPr>
        <w:spacing w:after="80"/>
      </w:pPr>
      <w:r>
        <w:t xml:space="preserve"/>
      </w:r>
    </w:p>
    <w:p>
      <w:pPr>
        <w:spacing w:after="140" w:line="276"/>
      </w:pPr>
      <w:r>
        <w:rPr>
          <w:rFonts w:ascii="Arial" w:cs="Arial" w:eastAsia="Arial" w:hAnsi="Arial"/>
          <w:color w:val="1A1A1A"/>
          <w:sz w:val="20"/>
          <w:szCs w:val="20"/>
        </w:rPr>
        <w:t xml:space="preserve">Contact email is the universal join key in this model. It links:</w:t>
      </w:r>
    </w:p>
    <w:p>
      <w:pPr>
        <w:pStyle w:val="ListParagraph"/>
        <w:numPr>
          <w:ilvl w:val="0"/>
          <w:numId w:val="2"/>
        </w:numPr>
        <w:spacing w:after="80"/>
      </w:pPr>
      <w:r>
        <w:rPr>
          <w:rFonts w:ascii="Arial" w:cs="Arial" w:eastAsia="Arial" w:hAnsi="Arial"/>
          <w:color w:val="1A1A1A"/>
          <w:sz w:val="20"/>
          <w:szCs w:val="20"/>
        </w:rPr>
        <w:t xml:space="preserve">The rep's activity records (calls, emails, meetings) to the person they were engaging</w:t>
      </w:r>
    </w:p>
    <w:p>
      <w:pPr>
        <w:pStyle w:val="ListParagraph"/>
        <w:numPr>
          <w:ilvl w:val="0"/>
          <w:numId w:val="2"/>
        </w:numPr>
        <w:spacing w:after="80"/>
      </w:pPr>
      <w:r>
        <w:rPr>
          <w:rFonts w:ascii="Arial" w:cs="Arial" w:eastAsia="Arial" w:hAnsi="Arial"/>
          <w:color w:val="1A1A1A"/>
          <w:sz w:val="20"/>
          <w:szCs w:val="20"/>
        </w:rPr>
        <w:t xml:space="preserve">That person back to the deal via the deal-contact association</w:t>
      </w:r>
    </w:p>
    <w:p>
      <w:pPr>
        <w:pStyle w:val="ListParagraph"/>
        <w:numPr>
          <w:ilvl w:val="0"/>
          <w:numId w:val="2"/>
        </w:numPr>
        <w:spacing w:after="80"/>
      </w:pPr>
      <w:r>
        <w:rPr>
          <w:rFonts w:ascii="Arial" w:cs="Arial" w:eastAsia="Arial" w:hAnsi="Arial"/>
          <w:color w:val="1A1A1A"/>
          <w:sz w:val="20"/>
          <w:szCs w:val="20"/>
        </w:rPr>
        <w:t xml:space="preserve">The deal back to a revenue outcome (amount, close date, won/lost status)</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5.2  Direct Deal Association Path (preferred)</w:t>
      </w:r>
    </w:p>
    <w:p>
      <w:pPr>
        <w:spacing w:after="140" w:line="276"/>
      </w:pPr>
      <w:r>
        <w:rPr>
          <w:rFonts w:ascii="Arial" w:cs="Arial" w:eastAsia="Arial" w:hAnsi="Arial"/>
          <w:color w:val="1A1A1A"/>
          <w:sz w:val="20"/>
          <w:szCs w:val="20"/>
        </w:rPr>
        <w:t xml:space="preserve">When an activity record has an associations.deals entry, use it directly. This is the cleanest path and avoids contact resolution entirely for the activity-to-deal link.</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Activity.hs_object_id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-&gt; associations.deals[].id  = Deal.hs_object_id  [direct link]</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-&gt; associations.contacts[].id -&gt; Contact.email   [for rep identity]</w:t>
            </w:r>
          </w:p>
        </w:tc>
      </w:tr>
    </w:tbl>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5.3  Contact Email Path (fallback / cross-validation)</w:t>
      </w:r>
    </w:p>
    <w:p>
      <w:pPr>
        <w:spacing w:after="140" w:line="276"/>
      </w:pPr>
      <w:r>
        <w:rPr>
          <w:rFonts w:ascii="Arial" w:cs="Arial" w:eastAsia="Arial" w:hAnsi="Arial"/>
          <w:color w:val="1A1A1A"/>
          <w:sz w:val="20"/>
          <w:szCs w:val="20"/>
        </w:rPr>
        <w:t xml:space="preserve">When an activity has no deal association (common for calendar-synced meetings or emails logged outside of HubSpot's UI), resolve via contact email:</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Activity.associations.contacts[].id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-&gt; Contact.email</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-&gt; Deal-Contact Association: POST /crm/v3/associations/contacts/deals/batch/read</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-&gt; Deal.hs_object_id</w:t>
            </w:r>
          </w:p>
        </w:tc>
      </w:tr>
    </w:tbl>
    <w:p>
      <w:pPr>
        <w:spacing w:after="80"/>
      </w:pPr>
      <w:r>
        <w:t xml:space="preserve"/>
      </w:r>
    </w:p>
    <w:p>
      <w:pPr>
        <w:spacing w:after="140" w:line="276"/>
      </w:pPr>
      <w:r>
        <w:rPr>
          <w:rFonts w:ascii="Arial" w:cs="Arial" w:eastAsia="Arial" w:hAnsi="Arial"/>
          <w:color w:val="1A1A1A"/>
          <w:sz w:val="20"/>
          <w:szCs w:val="20"/>
        </w:rPr>
        <w:t xml:space="preserve">This path is also used for cross-validation: if an activity claims to be associated with deal X but the contact on the activity is not associated with deal X, there is a data integrity issue in the customer's HubSpot portal.</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5.4  Owner Join</w:t>
      </w:r>
    </w:p>
    <w:p>
      <w:pPr>
        <w:spacing w:after="140" w:line="276"/>
      </w:pPr>
      <w:r>
        <w:rPr>
          <w:rFonts w:ascii="Arial" w:cs="Arial" w:eastAsia="Arial" w:hAnsi="Arial"/>
          <w:color w:val="1A1A1A"/>
          <w:sz w:val="20"/>
          <w:szCs w:val="20"/>
        </w:rPr>
        <w:t xml:space="preserve">Rep identity on activity records comes from hubspot_owner_id on the engagement object. Resolve this to a name and email via the Owners API endpoint, which returns a stable list of HubSpot user records.</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2B4A" w:sz="2"/>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Activity.hubspot_owner_id</w:t>
            </w:r>
          </w:p>
        </w:tc>
      </w:tr>
      <w:tr>
        <w:tc>
          <w:tcPr>
            <w:tcW w:type="dxa" w:w="9360"/>
            <w:tcBorders>
              <w:top w:val="none" w:color="FFFFFF" w:sz="0"/>
              <w:left w:val="single" w:color="1A2B4A" w:sz="2"/>
              <w:bottom w:val="none" w:color="FFFFFF" w:sz="0"/>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-&gt; GET /crm/v3/owners/{ownerId}</w:t>
            </w:r>
          </w:p>
        </w:tc>
      </w:tr>
      <w:tr>
        <w:tc>
          <w:tcPr>
            <w:tcW w:type="dxa" w:w="9360"/>
            <w:tcBorders>
              <w:top w:val="none" w:color="FFFFFF" w:sz="0"/>
              <w:left w:val="single" w:color="1A2B4A" w:sz="2"/>
              <w:bottom w:val="single" w:color="1A2B4A" w:sz="2"/>
              <w:right w:val="single" w:color="1A2B4A" w:sz="2"/>
            </w:tcBorders>
            <w:shd w:fill="F4F4F4" w:val="clear"/>
            <w:tcMar>
              <w:top w:type="dxa" w:w="60"/>
              <w:left w:type="dxa" w:w="200"/>
              <w:bottom w:type="dxa" w:w="60"/>
              <w:right w:type="dxa" w:w="200"/>
            </w:tcMar>
          </w:tcPr>
          <w:p>
            <w:pPr>
              <w:spacing w:after="20"/>
            </w:pPr>
            <w:r>
              <w:rPr>
                <w:rFonts w:ascii="Courier New" w:cs="Courier New" w:eastAsia="Courier New" w:hAnsi="Courier New"/>
                <w:color w:val="1A1A1A"/>
                <w:sz w:val="18"/>
                <w:szCs w:val="18"/>
              </w:rPr>
              <w:t xml:space="preserve">    -&gt; { "id": "...", "email": "rep@company.com", "firstName": "...", "lastName": "..." }</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Owner vs. Contact: </w:t>
            </w:r>
            <w:r>
              <w:rPr>
                <w:rFonts w:ascii="Arial" w:cs="Arial" w:eastAsia="Arial" w:hAnsi="Arial"/>
                <w:color w:val="1A1A1A"/>
                <w:sz w:val="18"/>
                <w:szCs w:val="18"/>
              </w:rPr>
              <w:t xml:space="preserve">hubspot_owner_id on an activity is the HubSpot user (the rep) who logged or owns the activity. It is not the contact associated with the activity. These are two different identity fields and resolve against two different APIs (/crm/v3/owners vs. /crm/v3/objects/contacts).</w:t>
            </w:r>
          </w:p>
        </w:tc>
      </w:tr>
    </w:tbl>
    <w:p>
      <w:r>
        <w:br w:type="page"/>
      </w:r>
    </w:p>
    <w:p>
      <w:pPr>
        <w:pBdr>
          <w:bottom w:val="single" w:color="1A2B4A" w:sz="3"/>
        </w:pBdr>
        <w:shd w:fill="2E5FA3" w:val="clear"/>
        <w:spacing w:before="360" w:after="200"/>
      </w:pPr>
      <w:r>
        <w:rPr>
          <w:rFonts w:ascii="Arial" w:cs="Arial" w:eastAsia="Arial" w:hAnsi="Arial"/>
          <w:b/>
          <w:bCs/>
          <w:color w:val="FFFFFF"/>
          <w:sz w:val="26"/>
          <w:szCs w:val="26"/>
        </w:rPr>
        <w:t xml:space="preserve">6. HubSpot-Specific Structural Quirks for Staq's Data Model</w:t>
      </w:r>
    </w:p>
    <w:p>
      <w:pPr>
        <w:spacing w:after="80"/>
      </w:pPr>
      <w:r>
        <w:t xml:space="preserve"/>
      </w:r>
    </w:p>
    <w:p>
      <w:pPr>
        <w:spacing w:after="140" w:line="276"/>
      </w:pPr>
      <w:r>
        <w:rPr>
          <w:rFonts w:ascii="Arial" w:cs="Arial" w:eastAsia="Arial" w:hAnsi="Arial"/>
          <w:color w:val="1A1A1A"/>
          <w:sz w:val="20"/>
          <w:szCs w:val="20"/>
        </w:rPr>
        <w:t xml:space="preserve">The following are HubSpot behaviors that have no direct Salesforce equivalent and that Staq's data model and ETL pipelines must explicitly account for.</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6.1  No Native Contact Role Object</w:t>
      </w:r>
    </w:p>
    <w:p>
      <w:pPr>
        <w:spacing w:after="140" w:line="276"/>
      </w:pPr>
      <w:r>
        <w:rPr>
          <w:rFonts w:ascii="Arial" w:cs="Arial" w:eastAsia="Arial" w:hAnsi="Arial"/>
          <w:color w:val="1A1A1A"/>
          <w:sz w:val="20"/>
          <w:szCs w:val="20"/>
        </w:rPr>
        <w:t xml:space="preserve">Salesforce OpportunityContactRole is a first-class object with a Role field and isPrimary flag. HubSpot has no equivalent. Contact-to-deal associations can carry optional labels (e.g., "Decision Maker," "Billing Contact"), but:</w:t>
      </w:r>
    </w:p>
    <w:p>
      <w:pPr>
        <w:pStyle w:val="ListParagraph"/>
        <w:numPr>
          <w:ilvl w:val="0"/>
          <w:numId w:val="2"/>
        </w:numPr>
        <w:spacing w:after="80"/>
      </w:pPr>
      <w:r>
        <w:rPr>
          <w:rFonts w:ascii="Arial" w:cs="Arial" w:eastAsia="Arial" w:hAnsi="Arial"/>
          <w:color w:val="1A1A1A"/>
          <w:sz w:val="20"/>
          <w:szCs w:val="20"/>
        </w:rPr>
        <w:t xml:space="preserve">Labels are entirely optional and rarely populated in practice</w:t>
      </w:r>
    </w:p>
    <w:p>
      <w:pPr>
        <w:pStyle w:val="ListParagraph"/>
        <w:numPr>
          <w:ilvl w:val="0"/>
          <w:numId w:val="2"/>
        </w:numPr>
        <w:spacing w:after="80"/>
      </w:pPr>
      <w:r>
        <w:rPr>
          <w:rFonts w:ascii="Arial" w:cs="Arial" w:eastAsia="Arial" w:hAnsi="Arial"/>
          <w:color w:val="1A1A1A"/>
          <w:sz w:val="20"/>
          <w:szCs w:val="20"/>
        </w:rPr>
        <w:t xml:space="preserve">Label definitions are portal-specific — the same role name may mean different things across customers</w:t>
      </w:r>
    </w:p>
    <w:p>
      <w:pPr>
        <w:pStyle w:val="ListParagraph"/>
        <w:numPr>
          <w:ilvl w:val="0"/>
          <w:numId w:val="2"/>
        </w:numPr>
        <w:spacing w:after="80"/>
      </w:pPr>
      <w:r>
        <w:rPr>
          <w:rFonts w:ascii="Arial" w:cs="Arial" w:eastAsia="Arial" w:hAnsi="Arial"/>
          <w:color w:val="1A1A1A"/>
          <w:sz w:val="20"/>
          <w:szCs w:val="20"/>
        </w:rPr>
        <w:t xml:space="preserve">There is no isPrimary equivalent — all contacts on a deal are peers</w:t>
      </w:r>
    </w:p>
    <w:p>
      <w:pPr>
        <w:spacing w:after="80"/>
      </w:pPr>
      <w:r>
        <w:t xml:space="preserve"/>
      </w:r>
    </w:p>
    <w:p>
      <w:pPr>
        <w:spacing w:after="140" w:line="276"/>
      </w:pPr>
      <w:r>
        <w:rPr>
          <w:rFonts w:ascii="Arial" w:cs="Arial" w:eastAsia="Arial" w:hAnsi="Arial"/>
          <w:color w:val="1A1A1A"/>
          <w:sz w:val="20"/>
          <w:szCs w:val="20"/>
        </w:rPr>
        <w:t xml:space="preserve">Implication: Staq cannot replicate a structured Contact Role dimension from HubSpot data unless the customer has explicitly configured and populated association labels.</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6.2  Stage IDs Are Portal-Specific Strings</w:t>
      </w:r>
    </w:p>
    <w:p>
      <w:pPr>
        <w:spacing w:after="140" w:line="276"/>
      </w:pPr>
      <w:r>
        <w:rPr>
          <w:rFonts w:ascii="Arial" w:cs="Arial" w:eastAsia="Arial" w:hAnsi="Arial"/>
          <w:color w:val="1A1A1A"/>
          <w:sz w:val="20"/>
          <w:szCs w:val="20"/>
        </w:rPr>
        <w:t xml:space="preserve">HubSpot deal stage IDs are not a universal enum. A stage ID of "appointmentscheduled" may exist in one portal and not another. UUID-format stage IDs are also common for custom stages. Staq must fetch the pipeline configuration (/crm/v3/pipelines/deals) at sync time for each customer portal and maintain a per-portal stage ID → label mapping. This mapping also carries the "is closed won" and "is closed lost" flags needed for revenue classification.</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6.3  propertiesWithHistory Is Not Searchable</w:t>
      </w:r>
    </w:p>
    <w:p>
      <w:pPr>
        <w:spacing w:after="140" w:line="276"/>
      </w:pPr>
      <w:r>
        <w:rPr>
          <w:rFonts w:ascii="Arial" w:cs="Arial" w:eastAsia="Arial" w:hAnsi="Arial"/>
          <w:color w:val="1A1A1A"/>
          <w:sz w:val="20"/>
          <w:szCs w:val="20"/>
        </w:rPr>
        <w:t xml:space="preserve">The /objects/deals/search endpoint does not support propertiesWithHistory. This means it is impossible to do a single API call that (a) filters deals by criteria and (b) returns their full stage history. Staq's pipeline must decouple the filter/paginate step from the history retrieval step, or use the full list endpoint with pagination and apply deal filtering downstream.</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6.4  Engagements Are First-Class Objects, Not Sub-Records</w:t>
      </w:r>
    </w:p>
    <w:p>
      <w:pPr>
        <w:spacing w:after="140" w:line="276"/>
      </w:pPr>
      <w:r>
        <w:rPr>
          <w:rFonts w:ascii="Arial" w:cs="Arial" w:eastAsia="Arial" w:hAnsi="Arial"/>
          <w:color w:val="1A1A1A"/>
          <w:sz w:val="20"/>
          <w:szCs w:val="20"/>
        </w:rPr>
        <w:t xml:space="preserve">In Salesforce, Tasks and Events live under the Activity object model as lightweight records. In HubSpot, calls, emails, and meetings are each independent CRM objects with their own searchable endpoints, property schemas, and association edges. This means:</w:t>
      </w:r>
    </w:p>
    <w:p>
      <w:pPr>
        <w:pStyle w:val="ListParagraph"/>
        <w:numPr>
          <w:ilvl w:val="0"/>
          <w:numId w:val="2"/>
        </w:numPr>
        <w:spacing w:after="80"/>
      </w:pPr>
      <w:r>
        <w:rPr>
          <w:rFonts w:ascii="Arial" w:cs="Arial" w:eastAsia="Arial" w:hAnsi="Arial"/>
          <w:color w:val="1A1A1A"/>
          <w:sz w:val="20"/>
          <w:szCs w:val="20"/>
        </w:rPr>
        <w:t xml:space="preserve">Each engagement type requires a separate API call pattern — there is no single "all activities" endpoint</w:t>
      </w:r>
    </w:p>
    <w:p>
      <w:pPr>
        <w:pStyle w:val="ListParagraph"/>
        <w:numPr>
          <w:ilvl w:val="0"/>
          <w:numId w:val="2"/>
        </w:numPr>
        <w:spacing w:after="80"/>
      </w:pPr>
      <w:r>
        <w:rPr>
          <w:rFonts w:ascii="Arial" w:cs="Arial" w:eastAsia="Arial" w:hAnsi="Arial"/>
          <w:color w:val="1A1A1A"/>
          <w:sz w:val="20"/>
          <w:szCs w:val="20"/>
        </w:rPr>
        <w:t xml:space="preserve">An engagement can exist in HubSpot with no associations (orphaned) — no contact, no deal, no company</w:t>
      </w:r>
    </w:p>
    <w:p>
      <w:pPr>
        <w:pStyle w:val="ListParagraph"/>
        <w:numPr>
          <w:ilvl w:val="0"/>
          <w:numId w:val="2"/>
        </w:numPr>
        <w:spacing w:after="80"/>
      </w:pPr>
      <w:r>
        <w:rPr>
          <w:rFonts w:ascii="Arial" w:cs="Arial" w:eastAsia="Arial" w:hAnsi="Arial"/>
          <w:color w:val="1A1A1A"/>
          <w:sz w:val="20"/>
          <w:szCs w:val="20"/>
        </w:rPr>
        <w:t xml:space="preserve">Engagements can be associated to multiple contacts and multiple deals simultaneously</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6.5  Deal-to-Activity Association Is Opt-In</w:t>
      </w:r>
    </w:p>
    <w:p>
      <w:pPr>
        <w:spacing w:after="140" w:line="276"/>
      </w:pPr>
      <w:r>
        <w:rPr>
          <w:rFonts w:ascii="Arial" w:cs="Arial" w:eastAsia="Arial" w:hAnsi="Arial"/>
          <w:color w:val="1A1A1A"/>
          <w:sz w:val="20"/>
          <w:szCs w:val="20"/>
        </w:rPr>
        <w:t xml:space="preserve">A rep logging a call from a contact record does not automatically associate that call with any open deals on that contact. The association must be explicitly created — either by the rep in the HubSpot UI, by a workflow automation, or by the tool that logged the activity. As a result, Staq should expect that a meaningful percentage of activity records will have contact associations but no deal associations. The contact-email join path (Section 5.3) is essential for recovering these cases.</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6.6  Multiple Owners Over Time</w:t>
      </w:r>
    </w:p>
    <w:p>
      <w:pPr>
        <w:spacing w:after="140" w:line="276"/>
      </w:pPr>
      <w:r>
        <w:rPr>
          <w:rFonts w:ascii="Arial" w:cs="Arial" w:eastAsia="Arial" w:hAnsi="Arial"/>
          <w:color w:val="1A1A1A"/>
          <w:sz w:val="20"/>
          <w:szCs w:val="20"/>
        </w:rPr>
        <w:t xml:space="preserve">HubSpot tracks owner changes through propertiesWithHistory on hubspot_owner_id. Unlike Salesforce where only the current OwnerId is on the Opportunity record, HubSpot's history mechanism means Staq can reconstruct a deal's ownership chain over its lifecycle. This is relevant for rep-level attribution: an activity logged by owner A on a deal that was later reassigned to owner B should be attributed to owner A at the time of the activity, not the current deal owner.</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6.7  Recurring Revenue Properties Are Separate and Manual</w:t>
      </w:r>
    </w:p>
    <w:p>
      <w:pPr>
        <w:spacing w:after="140" w:line="276"/>
      </w:pPr>
      <w:r>
        <w:rPr>
          <w:rFonts w:ascii="Arial" w:cs="Arial" w:eastAsia="Arial" w:hAnsi="Arial"/>
          <w:color w:val="1A1A1A"/>
          <w:sz w:val="20"/>
          <w:szCs w:val="20"/>
        </w:rPr>
        <w:t xml:space="preserve">HubSpot has a set of recurring revenue properties (hs_recurring_revenue_amount, hs_arr, hs_mrr) and a Revenue Analytics tool for subscription-style reporting. These properties are manually populated and not auto-calculated from deal amount. If the customer uses ARR/MRR reporting, Staq should include these fields in the deal pull, but must document them as conditionally populated — they will be null for any portal that has not explicitly adopted the recurring revenue framework.</w:t>
      </w:r>
    </w:p>
    <w:p>
      <w:pPr>
        <w:spacing w:after="80"/>
      </w:pPr>
      <w:r>
        <w:t xml:space="preserve"/>
      </w:r>
    </w:p>
    <w:p>
      <w:pPr>
        <w:pBdr>
          <w:bottom w:val="single" w:color="2E5FA3" w:sz="2"/>
        </w:pBdr>
        <w:spacing w:before="240" w:after="100"/>
      </w:pPr>
      <w:r>
        <w:rPr>
          <w:rFonts w:ascii="Arial" w:cs="Arial" w:eastAsia="Arial" w:hAnsi="Arial"/>
          <w:b/>
          <w:bCs/>
          <w:color w:val="1A2B4A"/>
          <w:sz w:val="22"/>
          <w:szCs w:val="22"/>
        </w:rPr>
        <w:t xml:space="preserve">6.8  No Multi-Touch Revenue Attribution Without Marketing Hub Enterprise</w:t>
      </w:r>
    </w:p>
    <w:p>
      <w:pPr>
        <w:spacing w:after="140" w:line="276"/>
      </w:pPr>
      <w:r>
        <w:rPr>
          <w:rFonts w:ascii="Arial" w:cs="Arial" w:eastAsia="Arial" w:hAnsi="Arial"/>
          <w:color w:val="1A1A1A"/>
          <w:sz w:val="20"/>
          <w:szCs w:val="20"/>
        </w:rPr>
        <w:t xml:space="preserve">HubSpot's multi-touch revenue attribution model (first touch, last touch, linear, etc.) is a Marketing Hub Enterprise feature, not a Sales Hub feature. A customer on Sales Hub Professional does not have native attribution reports in HubSpot. Staq's own attribution layer will fill this gap, but engineers should not assume that HubSpot's attribution data is present or usable from the API — it lives in a different object tier than the deal and engagement data this spec covers.</w:t>
      </w:r>
    </w:p>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E6A817" w:sz="3"/>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b/>
                <w:bCs/>
                <w:color w:val="1A1A1A"/>
                <w:sz w:val="18"/>
                <w:szCs w:val="18"/>
              </w:rPr>
              <w:t xml:space="preserve">Summary of gaps with no Salesforce equivalent: </w:t>
            </w:r>
          </w:p>
        </w:tc>
      </w:tr>
      <w:tr>
        <w:tc>
          <w:tcPr>
            <w:tcW w:type="dxa" w:w="9360"/>
            <w:tcBorders>
              <w:top w:val="none" w:color="FFFFFF" w:sz="0"/>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t xml:space="preserve">1. No Contact Role object (Section 6.1). Association labels are a weak substitute.</w:t>
            </w:r>
          </w:p>
        </w:tc>
      </w:tr>
      <w:tr>
        <w:tc>
          <w:tcPr>
            <w:tcW w:type="dxa" w:w="9360"/>
            <w:tcBorders>
              <w:top w:val="none" w:color="FFFFFF" w:sz="0"/>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t xml:space="preserve">2. Portal-specific stage ID strings require per-customer lookup at sync time (Section 6.2).</w:t>
            </w:r>
          </w:p>
        </w:tc>
      </w:tr>
      <w:tr>
        <w:tc>
          <w:tcPr>
            <w:tcW w:type="dxa" w:w="9360"/>
            <w:tcBorders>
              <w:top w:val="none" w:color="FFFFFF" w:sz="0"/>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t xml:space="preserve">3. propertiesWithHistory is incompatible with the search/filter endpoint (Section 6.3).</w:t>
            </w:r>
          </w:p>
        </w:tc>
      </w:tr>
      <w:tr>
        <w:tc>
          <w:tcPr>
            <w:tcW w:type="dxa" w:w="9360"/>
            <w:tcBorders>
              <w:top w:val="none" w:color="FFFFFF" w:sz="0"/>
              <w:left w:val="single" w:color="E6A817" w:sz="6"/>
              <w:bottom w:val="none" w:color="FFFFFF" w:sz="0"/>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t xml:space="preserve">4. Activity-to-deal association is opt-in and frequently absent (Section 6.5).</w:t>
            </w:r>
          </w:p>
        </w:tc>
      </w:tr>
      <w:tr>
        <w:tc>
          <w:tcPr>
            <w:tcW w:type="dxa" w:w="9360"/>
            <w:tcBorders>
              <w:top w:val="none" w:color="FFFFFF" w:sz="0"/>
              <w:left w:val="single" w:color="E6A817" w:sz="6"/>
              <w:bottom w:val="single" w:color="E6A817" w:sz="3"/>
              <w:right w:val="none" w:color="FFFFFF" w:sz="0"/>
            </w:tcBorders>
            <w:shd w:fill="FFF3CD" w:val="clear"/>
            <w:tcMar>
              <w:top w:type="dxa" w:w="80"/>
              <w:left w:type="dxa" w:w="160"/>
              <w:bottom w:type="dxa" w:w="80"/>
              <w:right w:type="dxa" w:w="160"/>
            </w:tcMar>
          </w:tcPr>
          <w:p>
            <w:pPr>
              <w:spacing w:after="60"/>
            </w:pPr>
            <w:r>
              <w:rPr>
                <w:rFonts w:ascii="Arial" w:cs="Arial" w:eastAsia="Arial" w:hAnsi="Arial"/>
                <w:color w:val="1A1A1A"/>
                <w:sz w:val="18"/>
                <w:szCs w:val="18"/>
              </w:rPr>
              <w:t xml:space="preserve">5. Multi-touch attribution requires Marketing Hub Enterprise — not available in Sales Hub data (Section 6.8).</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7" w:sz="2"/>
      </w:pBdr>
      <w:spacing w:before="60"/>
    </w:pPr>
    <w:r>
      <w:rPr>
        <w:rFonts w:ascii="Arial" w:cs="Arial" w:eastAsia="Arial" w:hAnsi="Arial"/>
        <w:color w:val="555555"/>
        <w:sz w:val="16"/>
        <w:szCs w:val="16"/>
      </w:rPr>
      <w:t xml:space="preserve">Confidential — Staq Internal</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3"/>
      </w:pBdr>
      <w:spacing w:after="60"/>
    </w:pPr>
    <w:r>
      <w:rPr>
        <w:rFonts w:ascii="Arial" w:cs="Arial" w:eastAsia="Arial" w:hAnsi="Arial"/>
        <w:b/>
        <w:bCs/>
        <w:color w:val="1A2B4A"/>
        <w:sz w:val="18"/>
        <w:szCs w:val="18"/>
      </w:rPr>
      <w:t xml:space="preserve">STAQ</w:t>
    </w:r>
    <w:r>
      <w:rPr>
        <w:rFonts w:ascii="Arial" w:cs="Arial" w:eastAsia="Arial" w:hAnsi="Arial"/>
        <w:color w:val="555555"/>
        <w:sz w:val="18"/>
        <w:szCs w:val="18"/>
      </w:rPr>
      <w:t xml:space="preserve">   |   HubSpot Revenue Reporting API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2026-03-17T21:30:02.292Z</dcterms:created>
  <dcterms:modified xsi:type="dcterms:W3CDTF">2026-03-17T21:30:02.293Z</dcterms:modified>
</cp:coreProperties>
</file>

<file path=docProps/custom.xml><?xml version="1.0" encoding="utf-8"?>
<Properties xmlns="http://schemas.openxmlformats.org/officeDocument/2006/custom-properties" xmlns:vt="http://schemas.openxmlformats.org/officeDocument/2006/docPropsVTypes"/>
</file>