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360"/>
              <w:left w:type="dxa" w:w="360"/>
              <w:bottom w:type="dxa" w:w="360"/>
              <w:right w:type="dxa" w:w="360"/>
            </w:tcMar>
          </w:tcPr>
          <w:p>
            <w:pPr>
              <w:jc w:val="center"/>
            </w:pPr>
            <w:r>
              <w:rPr>
                <w:rFonts w:ascii="Arial" w:cs="Arial" w:eastAsia="Arial" w:hAnsi="Arial"/>
                <w:b/>
                <w:bCs/>
                <w:color w:val="FFFFFF"/>
                <w:sz w:val="52"/>
                <w:szCs w:val="52"/>
              </w:rPr>
              <w:t xml:space="preserve">STAQ</w:t>
            </w:r>
          </w:p>
          <w:p>
            <w:pPr>
              <w:jc w:val="center"/>
            </w:pPr>
            <w:r>
              <w:rPr>
                <w:rFonts w:ascii="Arial" w:cs="Arial" w:eastAsia="Arial" w:hAnsi="Arial"/>
                <w:color w:val="A8C4E0"/>
                <w:sz w:val="28"/>
                <w:szCs w:val="28"/>
              </w:rPr>
              <w:t xml:space="preserve">Engineering Data Specification</w:t>
            </w:r>
          </w:p>
          <w:p>
            <w:r>
              <w:rPr>
                <w:sz w:val="20"/>
                <w:szCs w:val="20"/>
              </w:rPr>
              <w:t xml:space="preserve"/>
            </w:r>
          </w:p>
          <w:p>
            <w:pPr>
              <w:jc w:val="center"/>
            </w:pPr>
            <w:r>
              <w:rPr>
                <w:rFonts w:ascii="Arial" w:cs="Arial" w:eastAsia="Arial" w:hAnsi="Arial"/>
                <w:b/>
                <w:bCs/>
                <w:color w:val="FFFFFF"/>
                <w:sz w:val="36"/>
                <w:szCs w:val="36"/>
              </w:rPr>
              <w:t xml:space="preserve">Salesforce Revenue Reporting — API Pull Spec</w:t>
            </w:r>
          </w:p>
          <w:p>
            <w:r>
              <w:rPr>
                <w:sz w:val="20"/>
                <w:szCs w:val="20"/>
              </w:rPr>
              <w:t xml:space="preserve"/>
            </w:r>
          </w:p>
          <w:p>
            <w:pPr>
              <w:jc w:val="center"/>
            </w:pPr>
            <w:r>
              <w:rPr>
                <w:rFonts w:ascii="Arial" w:cs="Arial" w:eastAsia="Arial" w:hAnsi="Arial"/>
                <w:color w:val="7FA8CC"/>
                <w:sz w:val="20"/>
                <w:szCs w:val="20"/>
              </w:rPr>
              <w:t xml:space="preserve">Customer Edition: Unlimited / Performance  |  March 2025</w:t>
            </w:r>
          </w:p>
        </w:tc>
      </w:tr>
    </w:tbl>
    <w:p>
      <w:r>
        <w:rPr>
          <w:sz w:val="30"/>
          <w:szCs w:val="3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120"/>
            </w:tcMar>
          </w:tcPr>
          <w:p>
            <w:r>
              <w:rPr>
                <w:rFonts w:ascii="Arial" w:cs="Arial" w:eastAsia="Arial" w:hAnsi="Arial"/>
                <w:b/>
                <w:bCs/>
                <w:color w:val="0D1F3C"/>
                <w:sz w:val="18"/>
                <w:szCs w:val="18"/>
              </w:rPr>
              <w:t xml:space="preserve">Document Type</w:t>
            </w:r>
          </w:p>
          <w:p>
            <w:r>
              <w:rPr>
                <w:rFonts w:ascii="Arial" w:cs="Arial" w:eastAsia="Arial" w:hAnsi="Arial"/>
                <w:color w:val="333333"/>
                <w:sz w:val="18"/>
                <w:szCs w:val="18"/>
              </w:rPr>
              <w:t xml:space="preserve">Internal Engineering Spec</w:t>
            </w:r>
          </w:p>
        </w:tc>
        <w:tc>
          <w:tcPr>
            <w:tcW w:type="dxa" w:w="3120"/>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120"/>
            </w:tcMar>
          </w:tcPr>
          <w:p>
            <w:r>
              <w:rPr>
                <w:rFonts w:ascii="Arial" w:cs="Arial" w:eastAsia="Arial" w:hAnsi="Arial"/>
                <w:b/>
                <w:bCs/>
                <w:color w:val="0D1F3C"/>
                <w:sz w:val="18"/>
                <w:szCs w:val="18"/>
              </w:rPr>
              <w:t xml:space="preserve">Audience</w:t>
            </w:r>
          </w:p>
          <w:p>
            <w:r>
              <w:rPr>
                <w:rFonts w:ascii="Arial" w:cs="Arial" w:eastAsia="Arial" w:hAnsi="Arial"/>
                <w:color w:val="333333"/>
                <w:sz w:val="18"/>
                <w:szCs w:val="18"/>
              </w:rPr>
              <w:t xml:space="preserve">Staq Engineering</w:t>
            </w:r>
          </w:p>
        </w:tc>
        <w:tc>
          <w:tcPr>
            <w:tcW w:type="dxa" w:w="3120"/>
            <w:tcBorders>
              <w:top w:val="single" w:color="C5D3E0" w:sz="1"/>
              <w:left w:val="single" w:color="C5D3E0" w:sz="1"/>
              <w:bottom w:val="single" w:color="C5D3E0" w:sz="1"/>
              <w:right w:val="single" w:color="C5D3E0" w:sz="1"/>
            </w:tcBorders>
            <w:shd w:fill="EBF2FA" w:val="clear"/>
            <w:tcMar>
              <w:top w:type="dxa" w:w="120"/>
              <w:left w:type="dxa" w:w="200"/>
              <w:bottom w:type="dxa" w:w="120"/>
              <w:right w:type="dxa" w:w="120"/>
            </w:tcMar>
          </w:tcPr>
          <w:p>
            <w:r>
              <w:rPr>
                <w:rFonts w:ascii="Arial" w:cs="Arial" w:eastAsia="Arial" w:hAnsi="Arial"/>
                <w:b/>
                <w:bCs/>
                <w:color w:val="0D1F3C"/>
                <w:sz w:val="18"/>
                <w:szCs w:val="18"/>
              </w:rPr>
              <w:t xml:space="preserve">Status</w:t>
            </w:r>
          </w:p>
          <w:p>
            <w:r>
              <w:rPr>
                <w:rFonts w:ascii="Arial" w:cs="Arial" w:eastAsia="Arial" w:hAnsi="Arial"/>
                <w:color w:val="333333"/>
                <w:sz w:val="18"/>
                <w:szCs w:val="18"/>
              </w:rPr>
              <w:t xml:space="preserve">Draft — Pending Admin Confirmation</w:t>
            </w:r>
          </w:p>
        </w:tc>
      </w:tr>
    </w:tbl>
    <w:p>
      <w:r>
        <w:rPr>
          <w:sz w:val="20"/>
          <w:szCs w:val="20"/>
        </w:rPr>
        <w:t xml:space="preserve"/>
      </w:r>
    </w:p>
    <w:p>
      <w:pPr>
        <w:spacing w:after="60" w:before="60"/>
      </w:pPr>
      <w:r>
        <w:rPr>
          <w:rFonts w:ascii="Arial" w:cs="Arial" w:eastAsia="Arial" w:hAnsi="Arial"/>
          <w:color w:val="333333"/>
          <w:sz w:val="20"/>
          <w:szCs w:val="20"/>
        </w:rPr>
        <w:t xml:space="preserve">This specification defines exactly what data to pull from the customer's Salesforce instance, which API to use for each pull, the SOQL queries to execute, and how the resulting datasets join together to produce revenue attribution output. It is scoped to revenue reporting only: deal data, deal stage history, and rep activity records. No other objects are in scope.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1"/>
            </w:tcBorders>
            <w:shd w:fill="FEF3C7" w:val="clear"/>
            <w:tcMar>
              <w:top w:type="dxa" w:w="120"/>
              <w:left w:type="dxa" w:w="200"/>
              <w:bottom w:type="dxa" w:w="120"/>
              <w:right w:type="dxa" w:w="200"/>
            </w:tcMar>
          </w:tcPr>
          <w:p>
            <w:r>
              <w:rPr>
                <w:rFonts w:ascii="Arial" w:cs="Arial" w:eastAsia="Arial" w:hAnsi="Arial"/>
                <w:b/>
                <w:bCs/>
                <w:color w:val="7B4F00"/>
                <w:sz w:val="20"/>
                <w:szCs w:val="20"/>
              </w:rPr>
              <w:t xml:space="preserve">⚠  CONDITIONAL / CAVEAT</w:t>
            </w:r>
          </w:p>
          <w:p>
            <w:r>
              <w:rPr>
                <w:rFonts w:ascii="Arial" w:cs="Arial" w:eastAsia="Arial" w:hAnsi="Arial"/>
                <w:color w:val="5D3A00"/>
                <w:sz w:val="18"/>
                <w:szCs w:val="18"/>
              </w:rPr>
              <w:t xml:space="preserve">Third-party activity sync status is UNCONFIRMED. Activity data from connected sales tools will not exist in Salesforce Task/Event objects unless those tools are actively syncing to Salesforce.</w:t>
            </w:r>
          </w:p>
          <w:p>
            <w:r>
              <w:rPr>
                <w:rFonts w:ascii="Arial" w:cs="Arial" w:eastAsia="Arial" w:hAnsi="Arial"/>
                <w:color w:val="5D3A00"/>
                <w:sz w:val="18"/>
                <w:szCs w:val="18"/>
              </w:rPr>
              <w:t xml:space="preserve">Report 3 (Activity Data) is blocked until sync status is confirmed with the customer's Salesforce admin. See Open Questions section.</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Section 1  |  Authentication &amp; API Setup</w:t>
            </w:r>
          </w:p>
        </w:tc>
        <w:tc>
          <w:tcPr>
            <w:tcW w:type="dxa" w:w="2160"/>
            <w:tcBorders>
              <w:top w:val="none" w:color="FFFFFF" w:sz="0"/>
              <w:left w:val="none" w:color="FFFFFF" w:sz="0"/>
              <w:bottom w:val="none" w:color="FFFFFF" w:sz="0"/>
              <w:right w:val="none" w:color="FFFFFF" w:sz="0"/>
            </w:tcBorders>
            <w:shd w:fill="1A3460"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PREREQUISITE</w:t>
            </w:r>
          </w:p>
        </w:tc>
      </w:tr>
    </w:tbl>
    <w:p>
      <w:r>
        <w:rPr>
          <w:sz w:val="16"/>
          <w:szCs w:val="16"/>
        </w:rPr>
        <w:t xml:space="preserve"/>
      </w:r>
    </w:p>
    <w:p>
      <w:pPr>
        <w:spacing w:after="60" w:before="60"/>
      </w:pPr>
      <w:r>
        <w:rPr>
          <w:rFonts w:ascii="Arial" w:cs="Arial" w:eastAsia="Arial" w:hAnsi="Arial"/>
          <w:color w:val="333333"/>
          <w:sz w:val="20"/>
          <w:szCs w:val="20"/>
        </w:rPr>
        <w:t xml:space="preserve">All API requests to this org authenticate via OAuth 2.0. The Username-Password flow is the practical starting point for a server-to-server integration — no browser redirect required. The customer admin must create a Connected App and a dedicated integration user before Staq engineering can execute any of the queries in this spec.</w:t>
      </w:r>
    </w:p>
    <w:p>
      <w:r>
        <w:rPr>
          <w:sz w:val="10"/>
          <w:szCs w:val="10"/>
        </w:rPr>
        <w:t xml:space="preserve"/>
      </w:r>
    </w:p>
    <w:p>
      <w:pPr>
        <w:pBdr>
          <w:bottom w:val="single" w:color="C5D3E0" w:sz="2" w:space="2"/>
        </w:pBdr>
        <w:spacing w:after="100" w:before="200"/>
      </w:pPr>
      <w:r>
        <w:rPr>
          <w:rFonts w:ascii="Arial" w:cs="Arial" w:eastAsia="Arial" w:hAnsi="Arial"/>
          <w:b/>
          <w:bCs/>
          <w:color w:val="0D1F3C"/>
          <w:sz w:val="22"/>
          <w:szCs w:val="22"/>
        </w:rPr>
        <w:t xml:space="preserve">1.1  Admin Setup — What the Customer Must Provide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Requirement / Notes</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Connected App</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Create in Setup &gt; App Manager. Enable OAuth. Set callback URL to https://login.salesforce.com/services/oauth2/callback (placeholder). Copy Consumer Key and Consumer Secret.</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OAuth Scopes</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Minimum required: api (full API access), refresh_token, offline_access. Do NOT request chatter or marketing scopes.</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Integration User</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Create a dedicated Salesforce user (not a named rep). Assign a System Administrator or custom profile with Read access on: Opportunity, Account, Contact, OpportunityContactRole, OpportunityHistory, Task, Event, User.</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Security Token</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The integration user must have a Security Token. Admin resets it via Setup &gt; Users. Staq receives token via secure channel.</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Credentials to Share</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Consumer Key, Consumer Secret, Integration User Username, Integration User Password + Security Token (appended to password in the token request).</w:t>
            </w:r>
          </w:p>
        </w:tc>
      </w:tr>
      <w:tr>
        <w:tc>
          <w:tcPr>
            <w:tcW w:type="dxa" w:w="30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bCs/>
                <w:color w:val="003366"/>
                <w:sz w:val="18"/>
                <w:szCs w:val="18"/>
              </w:rPr>
              <w:t xml:space="preserve">IP Relaxation</w:t>
            </w:r>
          </w:p>
        </w:tc>
        <w:tc>
          <w:tcPr>
            <w:tcW w:type="dxa" w:w="63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color w:val="333333"/>
                <w:sz w:val="18"/>
                <w:szCs w:val="18"/>
              </w:rPr>
              <w:t xml:space="preserve">If org has IP restrictions on the integration user profile, add Staq's egress IPs to the trusted IP ranges — or set IP Relaxation on the Connected App to 'Relax IP restrictions'.</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1.2  Token Request</w:t>
      </w:r>
    </w:p>
    <w:p>
      <w:r>
        <w:rPr>
          <w:sz w:val="8"/>
          <w:szCs w:val="8"/>
        </w:rPr>
        <w:t xml:space="preserve"/>
      </w:r>
    </w:p>
    <w:p>
      <w:pPr>
        <w:spacing w:after="60" w:before="60"/>
      </w:pPr>
      <w:r>
        <w:rPr>
          <w:rFonts w:ascii="Arial" w:cs="Arial" w:eastAsia="Arial" w:hAnsi="Arial"/>
          <w:color w:val="333333"/>
          <w:sz w:val="20"/>
          <w:szCs w:val="20"/>
        </w:rPr>
        <w:t xml:space="preserve">Send a POST to the token endpoint. For production orgs: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POST https://login.salesforce.com/services/oauth2/token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Content-Type: application/x-www-form-urlencoded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grant_type=password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&amp;client_id=&lt;CONSUMER_KEY&gt;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&amp;client_secret=&lt;CONSUMER_SECRET&gt;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&amp;username=&lt;INTEGRATION_USER_USERNAME&gt;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&amp;password=&lt;PASSWORD&gt;&lt;SECURITY_TOKEN&gt;    // token appended directly, no delimiter</w:t>
            </w:r>
          </w:p>
        </w:tc>
      </w:tr>
    </w:tbl>
    <w:p>
      <w:r>
        <w:rPr>
          <w:sz w:val="10"/>
          <w:szCs w:val="10"/>
        </w:rPr>
        <w:t xml:space="preserve"/>
      </w:r>
    </w:p>
    <w:p>
      <w:pPr>
        <w:spacing w:after="60" w:before="60"/>
      </w:pPr>
      <w:r>
        <w:rPr>
          <w:rFonts w:ascii="Arial" w:cs="Arial" w:eastAsia="Arial" w:hAnsi="Arial"/>
          <w:color w:val="333333"/>
          <w:sz w:val="20"/>
          <w:szCs w:val="20"/>
        </w:rPr>
        <w:t xml:space="preserve">Successful response returns JSON with access_token, instance_url, and token_type. Use instance_url as the base for all subsequent API calls. The access_token does not expire on Unlimited Edition by default but should be re-requested on 401 responses.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0" w:sz="1"/>
              <w:left w:val="thick" w:color="1565C0" w:sz="12"/>
              <w:bottom w:val="single" w:color="C5D3E0" w:sz="1"/>
              <w:right w:val="single" w:color="C5D3E0" w:sz="1"/>
            </w:tcBorders>
            <w:shd w:fill="EBF2FA" w:val="clear"/>
            <w:tcMar>
              <w:top w:type="dxa" w:w="120"/>
              <w:left w:type="dxa" w:w="200"/>
              <w:bottom w:type="dxa" w:w="120"/>
              <w:right w:type="dxa" w:w="200"/>
            </w:tcMar>
          </w:tcPr>
          <w:p>
            <w:r>
              <w:rPr>
                <w:rFonts w:ascii="Arial" w:cs="Arial" w:eastAsia="Arial" w:hAnsi="Arial"/>
                <w:color w:val="1A3460"/>
                <w:sz w:val="18"/>
                <w:szCs w:val="18"/>
              </w:rPr>
              <w:t xml:space="preserve">SANDBOX NOTE: Replace login.salesforce.com with test.salesforce.com for sandbox orgs. The customer's sandbox instance_url will be</w:t>
            </w:r>
          </w:p>
          <w:p>
            <w:r>
              <w:rPr>
                <w:rFonts w:ascii="Arial" w:cs="Arial" w:eastAsia="Arial" w:hAnsi="Arial"/>
                <w:color w:val="1A3460"/>
                <w:sz w:val="18"/>
                <w:szCs w:val="18"/>
              </w:rPr>
              <w:t xml:space="preserve">in the form https://&lt;orgname&gt;.sandbox.my.salesforce.com. All SOQL queries below work identically against sandbox.</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1.3  Pagination — Following nextRecordsUrl</w:t>
      </w:r>
    </w:p>
    <w:p>
      <w:r>
        <w:rPr>
          <w:sz w:val="8"/>
          <w:szCs w:val="8"/>
        </w:rPr>
        <w:t xml:space="preserve"/>
      </w:r>
    </w:p>
    <w:p>
      <w:pPr>
        <w:spacing w:after="60" w:before="60"/>
      </w:pPr>
      <w:r>
        <w:rPr>
          <w:rFonts w:ascii="Arial" w:cs="Arial" w:eastAsia="Arial" w:hAnsi="Arial"/>
          <w:color w:val="333333"/>
          <w:sz w:val="20"/>
          <w:szCs w:val="20"/>
        </w:rPr>
        <w:t xml:space="preserve">The Salesforce REST API returns a maximum of 2,000 records per page by default (configurable via LIMIT in SOQL, max 2,000 per request). When a result set exceeds one page, the response includes a nextRecordsUrl. Staq must follow this until done: true is returned.</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Initial request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GET https://{instance_url}/services/data/v59.0/query?q=&lt;URL_ENCODED_SOQL&gt;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Authorization: Bearer {access_token}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Response structure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"totalSize": 45280,</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"done": false,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"nextRecordsUrl": "/services/data/v59.0/query/01gxx000000...-2000",</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"records":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Follow with:</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GET https://{instance_url}{nextRecordsUrl}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Repeat until response.done === true</w:t>
            </w:r>
          </w:p>
        </w:tc>
      </w:tr>
    </w:tbl>
    <w:p>
      <w:r>
        <w:rPr>
          <w:sz w:val="10"/>
          <w:szCs w:val="10"/>
        </w:rPr>
        <w:t xml:space="preserve"/>
      </w:r>
    </w:p>
    <w:p>
      <w:pPr>
        <w:spacing w:after="60" w:before="60"/>
      </w:pPr>
      <w:r>
        <w:rPr>
          <w:rFonts w:ascii="Arial" w:cs="Arial" w:eastAsia="Arial" w:hAnsi="Arial"/>
          <w:color w:val="333333"/>
          <w:sz w:val="20"/>
          <w:szCs w:val="20"/>
        </w:rPr>
        <w:t xml:space="preserve">For Report 1 (Opportunity + Contact data), use the standard REST API — result sets are manageable and streaming is preferable for incremental pulls. For Report 2 (Stage History) and Report 3 (Activities), use Bulk API 2.0 if row counts exceed ~50,000 — see each section for the rationale.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0" w:sz="1"/>
              <w:left w:val="thick" w:color="1565C0" w:sz="12"/>
              <w:bottom w:val="single" w:color="C5D3E0" w:sz="1"/>
              <w:right w:val="single" w:color="C5D3E0" w:sz="1"/>
            </w:tcBorders>
            <w:shd w:fill="EBF2FA" w:val="clear"/>
            <w:tcMar>
              <w:top w:type="dxa" w:w="120"/>
              <w:left w:type="dxa" w:w="200"/>
              <w:bottom w:type="dxa" w:w="120"/>
              <w:right w:type="dxa" w:w="200"/>
            </w:tcMar>
          </w:tcPr>
          <w:p>
            <w:r>
              <w:rPr>
                <w:rFonts w:ascii="Arial" w:cs="Arial" w:eastAsia="Arial" w:hAnsi="Arial"/>
                <w:color w:val="1A3460"/>
                <w:sz w:val="18"/>
                <w:szCs w:val="18"/>
              </w:rPr>
              <w:t xml:space="preserve">BULK API 2.0 PATTERN (for large result sets): POST a job to /services/data/v59.0/jobs/query with operation: query</w:t>
            </w:r>
          </w:p>
          <w:p>
            <w:r>
              <w:rPr>
                <w:rFonts w:ascii="Arial" w:cs="Arial" w:eastAsia="Arial" w:hAnsi="Arial"/>
                <w:color w:val="1A3460"/>
                <w:sz w:val="18"/>
                <w:szCs w:val="18"/>
              </w:rPr>
              <w:t xml:space="preserve">and the SOQL body. Poll the job status endpoint until state: JobComplete. Download results via the</w:t>
            </w:r>
          </w:p>
          <w:p>
            <w:r>
              <w:rPr>
                <w:rFonts w:ascii="Arial" w:cs="Arial" w:eastAsia="Arial" w:hAnsi="Arial"/>
                <w:color w:val="1A3460"/>
                <w:sz w:val="18"/>
                <w:szCs w:val="18"/>
              </w:rPr>
              <w:t xml:space="preserve">/results endpoint which returns CSV. Maximum record limits are lifted vs. the synchronous REST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Report 1  |  Deal Data with Associated Contacts</w:t>
            </w:r>
          </w:p>
        </w:tc>
        <w:tc>
          <w:tcPr>
            <w:tcW w:type="dxa" w:w="2160"/>
            <w:tcBorders>
              <w:top w:val="none" w:color="FFFFFF" w:sz="0"/>
              <w:left w:val="none" w:color="FFFFFF" w:sz="0"/>
              <w:bottom w:val="none" w:color="FFFFFF" w:sz="0"/>
              <w:right w:val="none" w:color="FFFFFF" w:sz="0"/>
            </w:tcBorders>
            <w:shd w:fill="2E7D32"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AVAILABLE NOW</w:t>
            </w:r>
          </w:p>
        </w:tc>
      </w:tr>
    </w:tbl>
    <w:p>
      <w:r>
        <w:rPr>
          <w:sz w:val="16"/>
          <w:szCs w:val="16"/>
        </w:rPr>
        <w:t xml:space="preserve"/>
      </w:r>
    </w:p>
    <w:p>
      <w:pPr>
        <w:spacing w:after="60" w:before="60"/>
      </w:pPr>
      <w:r>
        <w:rPr>
          <w:rFonts w:ascii="Arial" w:cs="Arial" w:eastAsia="Arial" w:hAnsi="Arial"/>
          <w:color w:val="333333"/>
          <w:sz w:val="20"/>
          <w:szCs w:val="20"/>
        </w:rPr>
        <w:t xml:space="preserve">This is the primary revenue dataset. It combines Opportunity-level deal metadata with the contact email addresses linked to each deal via OpportunityContactRole. Account context is included via a nested subquery on Opportunity — this pulls the Account Name without multiplying rows because it is a many-to-one join (many Opportunities share one Account).</w:t>
      </w:r>
    </w:p>
    <w:p>
      <w:r>
        <w:rPr>
          <w:sz w:val="10"/>
          <w:szCs w:val="10"/>
        </w:rPr>
        <w:t xml:space="preserve"/>
      </w:r>
    </w:p>
    <w:p>
      <w:pPr>
        <w:spacing w:after="60" w:before="60"/>
      </w:pPr>
      <w:r>
        <w:rPr>
          <w:rFonts w:ascii="Arial" w:cs="Arial" w:eastAsia="Arial" w:hAnsi="Arial"/>
          <w:color w:val="333333"/>
          <w:sz w:val="20"/>
          <w:szCs w:val="20"/>
        </w:rPr>
        <w:t xml:space="preserve">Contact.Email on the OpportunityContactRole object is the universal join key that connects every downstream tool-activity record back to a revenue outcome. Every attribution query Staq runs resolves to this email address to reach the Opportunity.</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0" w:sz="1"/>
              <w:left w:val="thick" w:color="1565C0" w:sz="12"/>
              <w:bottom w:val="single" w:color="C5D3E0" w:sz="1"/>
              <w:right w:val="single" w:color="C5D3E0" w:sz="1"/>
            </w:tcBorders>
            <w:shd w:fill="EBF2FA" w:val="clear"/>
            <w:tcMar>
              <w:top w:type="dxa" w:w="120"/>
              <w:left w:type="dxa" w:w="200"/>
              <w:bottom w:type="dxa" w:w="120"/>
              <w:right w:type="dxa" w:w="200"/>
            </w:tcMar>
          </w:tcPr>
          <w:p>
            <w:r>
              <w:rPr>
                <w:rFonts w:ascii="Arial" w:cs="Arial" w:eastAsia="Arial" w:hAnsi="Arial"/>
                <w:color w:val="1A3460"/>
                <w:sz w:val="18"/>
                <w:szCs w:val="18"/>
              </w:rPr>
              <w:t xml:space="preserve">JOIN KEY ARCHITECTURE: Tool activity records carry an email address. That email matches Contact.Email on</w:t>
            </w:r>
          </w:p>
          <w:p>
            <w:r>
              <w:rPr>
                <w:rFonts w:ascii="Arial" w:cs="Arial" w:eastAsia="Arial" w:hAnsi="Arial"/>
                <w:color w:val="1A3460"/>
                <w:sz w:val="18"/>
                <w:szCs w:val="18"/>
              </w:rPr>
              <w:t xml:space="preserve">OpportunityContactRole, which carries OpportunityId. OpportunityId carries Amount, StageName, CloseDate, and IsWon.</w:t>
            </w:r>
          </w:p>
          <w:p>
            <w:r>
              <w:rPr>
                <w:rFonts w:ascii="Arial" w:cs="Arial" w:eastAsia="Arial" w:hAnsi="Arial"/>
                <w:color w:val="1A3460"/>
                <w:sz w:val="18"/>
                <w:szCs w:val="18"/>
              </w:rPr>
              <w:t xml:space="preserve">This is the only reliable cross-tool attribution path in the absence of direct CRM sync.</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1.1  Objects</w:t>
      </w:r>
    </w:p>
    <w:p>
      <w:pPr>
        <w:spacing w:after="60" w:before="60"/>
      </w:pPr>
      <w:r>
        <w:rPr>
          <w:rFonts w:ascii="Arial" w:cs="Arial" w:eastAsia="Arial" w:hAnsi="Arial"/>
          <w:color w:val="333333"/>
          <w:sz w:val="20"/>
          <w:szCs w:val="20"/>
        </w:rPr>
        <w:t xml:space="preserve">Primary: Opportunity. Joined via subquery: OpportunityContactRole (child), Account (parent via AccountId).</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1.2  API Method — Standard REST API</w:t>
      </w:r>
    </w:p>
    <w:p>
      <w:pPr>
        <w:spacing w:after="60" w:before="60"/>
      </w:pPr>
      <w:r>
        <w:rPr>
          <w:rFonts w:ascii="Arial" w:cs="Arial" w:eastAsia="Arial" w:hAnsi="Arial"/>
          <w:color w:val="333333"/>
          <w:sz w:val="20"/>
          <w:szCs w:val="20"/>
        </w:rPr>
        <w:t xml:space="preserve">Use the synchronous REST API query endpoint. Opportunity row counts for most enterprise orgs are manageable under REST pagination limits. Switch to Bulk API 2.0 if the total Opportunity count exceeds 100,000 or query response time exceeds acceptable thresholds.</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1.3  SOQL Query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SELECT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Amount,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StageName,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IsClosed,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IsWon,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CloseDate,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LastModifiedDate,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ForecastCategoryName,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Probability,</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LeadSource,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Owner.Email,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AccountId,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Account.Name,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Account.Industry,</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Account.AnnualRevenue,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(SELECT ContactId, Contact.Email, Contact.FirstName,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Contact.LastName, IsPrimary, Role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FROM   OpportunityContactRoles)</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FROM Opportunity</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WHERE IsDeleted = false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ORDER BY LastModifiedDate DESC</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1.4  Field Reference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476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Notes / Join Key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Unique Opportunity record ID. Foreign key target for OpportunityFieldHistory, Task/Event, and all downstream joins.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Human-readable deal name.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Amount</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Deal value. Null if no amount entered; treat as 0 in aggregations only if business rules confirm.</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StageName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Current pipeline stage (picklist). Values are org-specific — request full stage list from admin.</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IsClosed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Boolean. True if deal is in a closed stage (won or lost).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IsWon</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Boolean. True only for Closed Won. Primary filter for realized revenue reporting.</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CloseDate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Scheduled or actual close date. For closed deals, this is the date the deal was marked closed.</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CreatedDate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Date the Opportunity record was created. Use for deal creation trend reporting.</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LastModifiedDate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Last update timestamp. Use for incremental pulls — filter WHERE LastModifiedDate &gt; {last_pull_timestamp}.</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ForecastCategoryName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Forecast category (Commit, Best Case, Pipeline, Omitted, Closed). Broader than stage for rollup reporting.</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Probability</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Weighted close probability (0-100). Tied to StageName by default unless overridden by rep.</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Deal type picklist (New Business, Renewal, Upsell, etc.). Values are org-specific.</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LeadSource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Source of the deal. Useful for channel attribution alongside tool activity data.</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Salesforce User ID of the deal owner (Account Executive or rep). Foreign key to User object.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User (via 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Full name of the deal owner for display.</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User (via Opportunity)</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Email of the deal owner. Secondary join key for matching rep identity across tools.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AccountId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Foreign key to Account object. Many-to-one — included here without row multiplication.</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Account.Name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Account (via 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Company name. Pulled via parent relationship — does not add rows.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Account.Industry</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Account (via 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Industry segment for deal segmentation.</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Account.AnnualRevenue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Account (via Opportunity)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ARR/revenue of the account. Available in Unlimited Edition.</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Contact.Email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Contact (via OpportunityContactRole)</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PRIMARY JOIN KEY *** — The email address of the contact associated with this deal. This is the universal key connecting all third-party tool activity records to Opportunity revenue data. Must be preserved exactly as stored in Salesforce.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ContactId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OpportunityContactRole</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Salesforce Contact record ID linked to this deal.</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IsPrimary</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OpportunityContactRole</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Boolean. Identifies the primary deal contact. Primary contact email is the highest-confidence join target.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Role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OpportunityContactRole</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Contact role on the deal (Decision Maker, Economic Buyer, Champion, etc.). Org-specific picklist.</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1.5  Row Behavior</w:t>
      </w:r>
    </w:p>
    <w:p>
      <w:pPr>
        <w:spacing w:after="60" w:before="60"/>
      </w:pPr>
      <w:r>
        <w:rPr>
          <w:rFonts w:ascii="Arial" w:cs="Arial" w:eastAsia="Arial" w:hAnsi="Arial"/>
          <w:color w:val="333333"/>
          <w:sz w:val="20"/>
          <w:szCs w:val="20"/>
        </w:rPr>
        <w:t xml:space="preserve">The subquery on OpportunityContactRoles returns a nested array per Opportunity row — one row per Opportunity, with a contacts array inside it. Staq must flatten this after retrieval: each Opportunity-Contact pair becomes a separate row in the working dataset, resulting in N rows per deal where N equals the number of contact roles. This is correct and expected — it is not row multiplication in the problematic sense because the Opportunity fields (Amount, Stage, etc.) are not duplicated at the SQL level.</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1"/>
            </w:tcBorders>
            <w:shd w:fill="FEF3C7" w:val="clear"/>
            <w:tcMar>
              <w:top w:type="dxa" w:w="120"/>
              <w:left w:type="dxa" w:w="200"/>
              <w:bottom w:type="dxa" w:w="120"/>
              <w:right w:type="dxa" w:w="200"/>
            </w:tcMar>
          </w:tcPr>
          <w:p>
            <w:r>
              <w:rPr>
                <w:rFonts w:ascii="Arial" w:cs="Arial" w:eastAsia="Arial" w:hAnsi="Arial"/>
                <w:b/>
                <w:bCs/>
                <w:color w:val="7B4F00"/>
                <w:sz w:val="20"/>
                <w:szCs w:val="20"/>
              </w:rPr>
              <w:t xml:space="preserve">⚠  CONDITIONAL / CAVEAT</w:t>
            </w:r>
          </w:p>
          <w:p>
            <w:r>
              <w:rPr>
                <w:rFonts w:ascii="Arial" w:cs="Arial" w:eastAsia="Arial" w:hAnsi="Arial"/>
                <w:color w:val="5D3A00"/>
                <w:sz w:val="18"/>
                <w:szCs w:val="18"/>
              </w:rPr>
              <w:t xml:space="preserve">If OpportunityContactRoles returns empty for a deal, that deal cannot be attributed to any tool activity. It is excluded from cross-tool</w:t>
            </w:r>
          </w:p>
          <w:p>
            <w:r>
              <w:rPr>
                <w:rFonts w:ascii="Arial" w:cs="Arial" w:eastAsia="Arial" w:hAnsi="Arial"/>
                <w:color w:val="5D3A00"/>
                <w:sz w:val="18"/>
                <w:szCs w:val="18"/>
              </w:rPr>
              <w:t xml:space="preserve">attribution but still appears in deal-only revenue reporting. Track the coverage rate (% of opps with at least one contact role) as a</w:t>
            </w:r>
          </w:p>
          <w:p>
            <w:r>
              <w:rPr>
                <w:rFonts w:ascii="Arial" w:cs="Arial" w:eastAsia="Arial" w:hAnsi="Arial"/>
                <w:color w:val="5D3A00"/>
                <w:sz w:val="18"/>
                <w:szCs w:val="18"/>
              </w:rPr>
              <w:t xml:space="preserve">data quality metric — low coverage means attribution will be incomplete regardless of tool sync status.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Report 2  |  Deal Stage History</w:t>
            </w:r>
          </w:p>
        </w:tc>
        <w:tc>
          <w:tcPr>
            <w:tcW w:type="dxa" w:w="2160"/>
            <w:tcBorders>
              <w:top w:val="none" w:color="FFFFFF" w:sz="0"/>
              <w:left w:val="none" w:color="FFFFFF" w:sz="0"/>
              <w:bottom w:val="none" w:color="FFFFFF" w:sz="0"/>
              <w:right w:val="none" w:color="FFFFFF" w:sz="0"/>
            </w:tcBorders>
            <w:shd w:fill="2E7D32"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AVAILABLE NOW</w:t>
            </w:r>
          </w:p>
        </w:tc>
      </w:tr>
    </w:tbl>
    <w:p>
      <w:r>
        <w:rPr>
          <w:sz w:val="16"/>
          <w:szCs w:val="16"/>
        </w:rPr>
        <w:t xml:space="preserve"/>
      </w:r>
    </w:p>
    <w:p>
      <w:pPr>
        <w:spacing w:after="60" w:before="60"/>
      </w:pPr>
      <w:r>
        <w:rPr>
          <w:rFonts w:ascii="Arial" w:cs="Arial" w:eastAsia="Arial" w:hAnsi="Arial"/>
          <w:color w:val="333333"/>
          <w:sz w:val="20"/>
          <w:szCs w:val="20"/>
        </w:rPr>
        <w:t xml:space="preserve">Deal stage history lives on the OpportunityHistory object (also surfaced as OpportunityFieldHistory for general field tracking). OpportunityHistory records are written automatically by Salesforce every time the Amount, Probability, Stage, or Close Date changes on an Opportunity — no admin configuration required. Unlike general field history which is retained for a limited rolling period, Opportunity stage history is not automatically deleted.</w:t>
      </w:r>
    </w:p>
    <w:p>
      <w:r>
        <w:rPr>
          <w:sz w:val="10"/>
          <w:szCs w:val="10"/>
        </w:rPr>
        <w:t xml:space="preserve"/>
      </w:r>
    </w:p>
    <w:p>
      <w:pPr>
        <w:spacing w:after="60" w:before="60"/>
      </w:pPr>
      <w:r>
        <w:rPr>
          <w:rFonts w:ascii="Arial" w:cs="Arial" w:eastAsia="Arial" w:hAnsi="Arial"/>
          <w:color w:val="333333"/>
          <w:sz w:val="20"/>
          <w:szCs w:val="20"/>
        </w:rPr>
        <w:t xml:space="preserve">This dataset cannot be joined to Report 1 (Opportunity) in a single query without multiplying rows. One Opportunity has many history records — joining them inline would repeat the Opportunity's Amount and other fields for each stage change, corrupting any aggregation. It must be pulled as an independent dataset and joined downstream in Staq's data layer on OpportunityId.</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0" w:sz="1"/>
              <w:left w:val="thick" w:color="1565C0" w:sz="12"/>
              <w:bottom w:val="single" w:color="C5D3E0" w:sz="1"/>
              <w:right w:val="single" w:color="C5D3E0" w:sz="1"/>
            </w:tcBorders>
            <w:shd w:fill="EBF2FA" w:val="clear"/>
            <w:tcMar>
              <w:top w:type="dxa" w:w="120"/>
              <w:left w:type="dxa" w:w="200"/>
              <w:bottom w:type="dxa" w:w="120"/>
              <w:right w:type="dxa" w:w="200"/>
            </w:tcMar>
          </w:tcPr>
          <w:p>
            <w:r>
              <w:rPr>
                <w:rFonts w:ascii="Arial" w:cs="Arial" w:eastAsia="Arial" w:hAnsi="Arial"/>
                <w:color w:val="1A3460"/>
                <w:sz w:val="18"/>
                <w:szCs w:val="18"/>
              </w:rPr>
              <w:t xml:space="preserve">WHY A SEPARATE PULL: SQL joins between Opportunity (one row per deal) and OpportunityHistory (many rows per deal) produce</w:t>
            </w:r>
          </w:p>
          <w:p>
            <w:r>
              <w:rPr>
                <w:rFonts w:ascii="Arial" w:cs="Arial" w:eastAsia="Arial" w:hAnsi="Arial"/>
                <w:color w:val="1A3460"/>
                <w:sz w:val="18"/>
                <w:szCs w:val="18"/>
              </w:rPr>
              <w:t xml:space="preserve">a row-multiplied result — Amount appears once per stage change, not once per deal. Aggregations (SUM of Amount) would</w:t>
            </w:r>
          </w:p>
          <w:p>
            <w:r>
              <w:rPr>
                <w:rFonts w:ascii="Arial" w:cs="Arial" w:eastAsia="Arial" w:hAnsi="Arial"/>
                <w:color w:val="1A3460"/>
                <w:sz w:val="18"/>
                <w:szCs w:val="18"/>
              </w:rPr>
              <w:t xml:space="preserve">overcount. The correct architecture is two separate API pulls, joined in Staq's data warehouse on OpportunityId.</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2.1  Objects</w:t>
      </w:r>
    </w:p>
    <w:p>
      <w:pPr>
        <w:spacing w:after="60" w:before="60"/>
      </w:pPr>
      <w:r>
        <w:rPr>
          <w:rFonts w:ascii="Arial" w:cs="Arial" w:eastAsia="Arial" w:hAnsi="Arial"/>
          <w:color w:val="333333"/>
          <w:sz w:val="20"/>
          <w:szCs w:val="20"/>
        </w:rPr>
        <w:t xml:space="preserve">Primary: OpportunityHistory. Each record represents one stage-or-key-field change event on a parent Opportunity.</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2.2  API Method — Bulk API 2.0</w:t>
      </w:r>
    </w:p>
    <w:p>
      <w:pPr>
        <w:spacing w:after="60" w:before="60"/>
      </w:pPr>
      <w:r>
        <w:rPr>
          <w:rFonts w:ascii="Arial" w:cs="Arial" w:eastAsia="Arial" w:hAnsi="Arial"/>
          <w:color w:val="333333"/>
          <w:sz w:val="20"/>
          <w:szCs w:val="20"/>
        </w:rPr>
        <w:t xml:space="preserve">OpportunityHistory row counts grow with every deal ever created in the org. For orgs with multi-year deal history, this object routinely exceeds 500,000 rows. Use Bulk API 2.0 for the initial full pull. Subsequent incremental pulls (filtered by CreatedDate) can use the standard REST API.</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2.3  SOQL Query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SELECT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StageName,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Amount,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CloseDate,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Probability,</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ForecastCategoryName,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CreatedById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FROM OpportunityHistory</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WHERE IsDeleted = false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ORDER BY OpportunityId, CreatedDate ASC</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For incremental pulls, add: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AND CreatedDate &gt; {last_pull_timestamp}</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2.4  Field Reference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476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Notes / Join Key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Unique record ID for this history entry.</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OpportunityId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Foreign key back to Opportunity.Id (Report 1). This is the link between a stage event and deal outcome data (Amount, IsWon, OwnerId).</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StageName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The stage value at the time this history record was created. Represents the stage the deal ENTERED on CreatedDate.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Amount</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Deal value at the time of this change. Useful for detecting deal size changes alongside stage changes.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CloseDate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Close date at the time of this change. Use to detect close date pushes.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Probability</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Probability at the time of the change.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ForecastCategoryName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Forecast category at the time of the change.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CreatedDate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Timestamp of the stage change. This is when the deal moved into StageName.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CreatedById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OpportunityHistory</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Salesforce User ID of the user who made the change. Can differ from the Opportunity owner if a manager edited the record.</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2.5  Stage Velocity Derivation</w:t>
      </w:r>
    </w:p>
    <w:p>
      <w:pPr>
        <w:spacing w:after="60" w:before="60"/>
      </w:pPr>
      <w:r>
        <w:rPr>
          <w:rFonts w:ascii="Arial" w:cs="Arial" w:eastAsia="Arial" w:hAnsi="Arial"/>
          <w:color w:val="333333"/>
          <w:sz w:val="20"/>
          <w:szCs w:val="20"/>
        </w:rPr>
        <w:t xml:space="preserve">Time-in-stage is not a stored field — it is derived. After pulling the full history for an Opportunity ordered by CreatedDate ASC, time in each stage = CreatedDate of the next row minus CreatedDate of the current row. The final row's time in stage = current date (or CloseDate if IsClosed = true) minus that row's CreatedDate. This calculation must happen in Staq's data layer, not in SOQL.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Report 3  |  Activity Data — Emails, Calls &amp; Meetings</w:t>
            </w:r>
          </w:p>
        </w:tc>
        <w:tc>
          <w:tcPr>
            <w:tcW w:type="dxa" w:w="2160"/>
            <w:tcBorders>
              <w:top w:val="none" w:color="FFFFFF" w:sz="0"/>
              <w:left w:val="none" w:color="FFFFFF" w:sz="0"/>
              <w:bottom w:val="none" w:color="FFFFFF" w:sz="0"/>
              <w:right w:val="none" w:color="FFFFFF" w:sz="0"/>
            </w:tcBorders>
            <w:shd w:fill="E65100"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CONDITIONAL</w:t>
            </w:r>
          </w:p>
        </w:tc>
      </w:tr>
    </w:tbl>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1"/>
            </w:tcBorders>
            <w:shd w:fill="FEF3C7" w:val="clear"/>
            <w:tcMar>
              <w:top w:type="dxa" w:w="120"/>
              <w:left w:type="dxa" w:w="200"/>
              <w:bottom w:type="dxa" w:w="120"/>
              <w:right w:type="dxa" w:w="200"/>
            </w:tcMar>
          </w:tcPr>
          <w:p>
            <w:r>
              <w:rPr>
                <w:rFonts w:ascii="Arial" w:cs="Arial" w:eastAsia="Arial" w:hAnsi="Arial"/>
                <w:b/>
                <w:bCs/>
                <w:color w:val="7B4F00"/>
                <w:sz w:val="20"/>
                <w:szCs w:val="20"/>
              </w:rPr>
              <w:t xml:space="preserve">⚠  CONDITIONAL / CAVEAT</w:t>
            </w:r>
          </w:p>
          <w:p>
            <w:r>
              <w:rPr>
                <w:rFonts w:ascii="Arial" w:cs="Arial" w:eastAsia="Arial" w:hAnsi="Arial"/>
                <w:color w:val="5D3A00"/>
                <w:sz w:val="18"/>
                <w:szCs w:val="18"/>
              </w:rPr>
              <w:t xml:space="preserve">THIS REPORT IS CONDITIONAL on third-party sales tool activity sync being active. If connected tools are not syncing</w:t>
            </w:r>
          </w:p>
          <w:p>
            <w:r>
              <w:rPr>
                <w:rFonts w:ascii="Arial" w:cs="Arial" w:eastAsia="Arial" w:hAnsi="Arial"/>
                <w:color w:val="5D3A00"/>
                <w:sz w:val="18"/>
                <w:szCs w:val="18"/>
              </w:rPr>
              <w:t xml:space="preserve">activity records to Salesforce, the Task and Event objects will contain only manually logged activities — not the full</w:t>
            </w:r>
          </w:p>
          <w:p>
            <w:r>
              <w:rPr>
                <w:rFonts w:ascii="Arial" w:cs="Arial" w:eastAsia="Arial" w:hAnsi="Arial"/>
                <w:color w:val="5D3A00"/>
                <w:sz w:val="18"/>
                <w:szCs w:val="18"/>
              </w:rPr>
              <w:t xml:space="preserve">rep touch history from any external tool. Do not execute this pull or interpret results until sync status is confirmed.</w:t>
            </w:r>
          </w:p>
          <w:p>
            <w:r>
              <w:rPr>
                <w:rFonts w:ascii="Arial" w:cs="Arial" w:eastAsia="Arial" w:hAnsi="Arial"/>
                <w:color w:val="5D3A00"/>
                <w:sz w:val="18"/>
                <w:szCs w:val="18"/>
              </w:rPr>
              <w:t xml:space="preserve">See Section 5 — Open Questions.</w:t>
            </w:r>
          </w:p>
        </w:tc>
      </w:tr>
    </w:tbl>
    <w:p>
      <w:r>
        <w:rPr>
          <w:sz w:val="16"/>
          <w:szCs w:val="16"/>
        </w:rPr>
        <w:t xml:space="preserve"/>
      </w:r>
    </w:p>
    <w:p>
      <w:pPr>
        <w:spacing w:after="60" w:before="60"/>
      </w:pPr>
      <w:r>
        <w:rPr>
          <w:rFonts w:ascii="Arial" w:cs="Arial" w:eastAsia="Arial" w:hAnsi="Arial"/>
          <w:color w:val="333333"/>
          <w:sz w:val="20"/>
          <w:szCs w:val="20"/>
        </w:rPr>
        <w:t xml:space="preserve">Rep-level touchpoints (emails sent, calls logged, meetings held) live on Salesforce's Activity objects: Task (for emails and calls) and Event (for calendar meetings). These objects are the landing zone for activities synced from any third-party sales tool with a Salesforce integration.</w:t>
      </w:r>
    </w:p>
    <w:p>
      <w:r>
        <w:rPr>
          <w:sz w:val="10"/>
          <w:szCs w:val="10"/>
        </w:rPr>
        <w:t xml:space="preserve"/>
      </w:r>
    </w:p>
    <w:p>
      <w:pPr>
        <w:spacing w:after="60" w:before="60"/>
      </w:pPr>
      <w:r>
        <w:rPr>
          <w:rFonts w:ascii="Arial" w:cs="Arial" w:eastAsia="Arial" w:hAnsi="Arial"/>
          <w:color w:val="333333"/>
          <w:sz w:val="20"/>
          <w:szCs w:val="20"/>
        </w:rPr>
        <w:t xml:space="preserve">Activity data cannot be joined directly to Opportunity data in a single query. The relationship is many-to-many: one Opportunity has many activities, and one activity can be related to multiple contacts. Joining inline produces the same row-multiplication problem as stage history — and is worse, because activity rows often outnumber Opportunity rows by 20x or more. The correct approach is a separate pull on each Activity object, joined downstream on the common keys.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0" w:sz="1"/>
              <w:left w:val="thick" w:color="1565C0" w:sz="12"/>
              <w:bottom w:val="single" w:color="C5D3E0" w:sz="1"/>
              <w:right w:val="single" w:color="C5D3E0" w:sz="1"/>
            </w:tcBorders>
            <w:shd w:fill="EBF2FA" w:val="clear"/>
            <w:tcMar>
              <w:top w:type="dxa" w:w="120"/>
              <w:left w:type="dxa" w:w="200"/>
              <w:bottom w:type="dxa" w:w="120"/>
              <w:right w:type="dxa" w:w="200"/>
            </w:tcMar>
          </w:tcPr>
          <w:p>
            <w:r>
              <w:rPr>
                <w:rFonts w:ascii="Arial" w:cs="Arial" w:eastAsia="Arial" w:hAnsi="Arial"/>
                <w:color w:val="1A3460"/>
                <w:sz w:val="18"/>
                <w:szCs w:val="18"/>
              </w:rPr>
              <w:t xml:space="preserve">JOIN PATH FOR ACTIVITIES: Task/Event records carry WhoId (Contact or Lead ID) and WhatId (Opportunity, Account, or other object ID).</w:t>
            </w:r>
          </w:p>
          <w:p>
            <w:r>
              <w:rPr>
                <w:rFonts w:ascii="Arial" w:cs="Arial" w:eastAsia="Arial" w:hAnsi="Arial"/>
                <w:color w:val="1A3460"/>
                <w:sz w:val="18"/>
                <w:szCs w:val="18"/>
              </w:rPr>
              <w:t xml:space="preserve">WhatId where WhatId starts with '006' is an Opportunity ID. WhoId where WhoId starts with '003' is a Contact ID.</w:t>
            </w:r>
          </w:p>
          <w:p>
            <w:r>
              <w:rPr>
                <w:rFonts w:ascii="Arial" w:cs="Arial" w:eastAsia="Arial" w:hAnsi="Arial"/>
                <w:color w:val="1A3460"/>
                <w:sz w:val="18"/>
                <w:szCs w:val="18"/>
              </w:rPr>
              <w:t xml:space="preserve">The contact email can be resolved via a separate Contact lookup on WhoId. This two-hop join is the correct attribution path.</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3.1  Objects</w:t>
      </w:r>
    </w:p>
    <w:p>
      <w:pPr>
        <w:spacing w:after="60" w:before="60"/>
      </w:pPr>
      <w:r>
        <w:rPr>
          <w:rFonts w:ascii="Arial" w:cs="Arial" w:eastAsia="Arial" w:hAnsi="Arial"/>
          <w:color w:val="333333"/>
          <w:sz w:val="20"/>
          <w:szCs w:val="20"/>
        </w:rPr>
        <w:t xml:space="preserve">Task: emails sent, calls logged, general activities. Event: calendar meetings, demos. Both use the same join keys (WhoId, WhatId).</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3.2  API Method — Bulk API 2.0</w:t>
      </w:r>
    </w:p>
    <w:p>
      <w:pPr>
        <w:spacing w:after="60" w:before="60"/>
      </w:pPr>
      <w:r>
        <w:rPr>
          <w:rFonts w:ascii="Arial" w:cs="Arial" w:eastAsia="Arial" w:hAnsi="Arial"/>
          <w:color w:val="333333"/>
          <w:sz w:val="20"/>
          <w:szCs w:val="20"/>
        </w:rPr>
        <w:t xml:space="preserve">Activity objects are the highest-volume objects in most sales orgs. An org with active tool sync and a multi-year history can accumulate millions of Task records. Always use Bulk API 2.0 for the initial activity pull. Apply a CreatedDate range filter for incremental pulls to avoid re-pulling the full history on every sync.</w:t>
      </w:r>
    </w:p>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3.3a  SOQL Query — Task (Emails &amp; Calls)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SELECT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Subject,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Status,</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ActivityDate,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Who.Email,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WhatId,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What.Name,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Owner.Email,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CallType,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CallDurationInSeconds,</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CallDisposition,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Description,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TaskSubtype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FROM Task</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WHERE IsDeleted = false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AND ActivityDate &gt;= 2023-01-01   -- adjust window as needed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ORDER BY CreatedDate DESC</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To filter by a specific activity source, filter on Subject or Type as appropriate for the org's logging conventions</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3.3b  SOQL Query — Event (Meetings &amp; Demos)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SELECT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Subject,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StartDateTime,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EndDateTime,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DurationInMinutes,</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ActivityDate,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CreatedDate,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Who.Email,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WhatId,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What.Name,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Owner.Name,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Owner.Email,</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ShowAs,</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Description,</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EventSubtype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FROM Event</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WHERE IsDeleted = false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AND StartDateTime &gt;= 2023-01-01T00:00:00Z</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ORDER BY StartDateTime DESC</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3.4  Field Reference — Task</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476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Notes / Join Key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Unique activity record ID.</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Subject</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Activity subject line. For synced tasks, this typically contains the email subject or call type as written by the source tool.</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Status</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 status (Completed, Not Started, In Progress, etc.). Completed = activity occurred.</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ActivityDate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Date the activity was completed or is due. Use for timeline analysis.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CreatedDate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When the Task record was created in Salesforce. For synced activities, this approximates when the activity occurred.</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WhoId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Salesforce ID of the Contact (prefix 003) or Lead (prefix 00Q) related to the activity. Resolves to a Contact for email attribution.</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Who.Email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Contact/Lead (via Task)</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Email address of the contact. This is the primary key for matching task records to Contact.Email on OpportunityContactRole, completing the activity-to-revenue join.</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WhatId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Salesforce ID of the related record. When prefix is 006, this is an Opportunity ID (direct link). When prefix is 001, this is an Account.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What.Name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Opportunity/Account (via 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Name of the related record (deal name or account name) for display.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Salesforce User ID of the rep who owns/logged this activity.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User (via 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Rep email. Use to match rep identity across connected tools and Salesforce.</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Activity type picklist (Email, Call, Meeting, etc.). Values are org-specific.</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CallType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Inbound or Outbound for call-type tasks. Null for emails.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CallDurationInSeconds</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Duration for logged calls.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CallDisposition</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Call outcome (Connected, Left Voicemail, No Answer, etc.). Org-specific picklist.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TaskSubtype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System subtype: Email, Call, Task, List Email. Use to differentiate emails from calls programmatically.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Description</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Task</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Free-text notes field. May contain message body excerpts or call notes depending on how the source tool writes to Salesforce. Handle as unstructured text.</w:t>
            </w:r>
          </w:p>
        </w:tc>
      </w:tr>
    </w:tbl>
    <w:p>
      <w:r>
        <w:rPr>
          <w:sz w:val="12"/>
          <w:szCs w:val="12"/>
        </w:rPr>
        <w:t xml:space="preserve"/>
      </w:r>
    </w:p>
    <w:p>
      <w:pPr>
        <w:pBdr>
          <w:bottom w:val="single" w:color="C5D3E0" w:sz="2" w:space="2"/>
        </w:pBdr>
        <w:spacing w:after="100" w:before="200"/>
      </w:pPr>
      <w:r>
        <w:rPr>
          <w:rFonts w:ascii="Arial" w:cs="Arial" w:eastAsia="Arial" w:hAnsi="Arial"/>
          <w:b/>
          <w:bCs/>
          <w:color w:val="0D1F3C"/>
          <w:sz w:val="22"/>
          <w:szCs w:val="22"/>
        </w:rPr>
        <w:t xml:space="preserve">3.5  Field Reference — Event</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Field API Name</w:t>
            </w:r>
          </w:p>
        </w:tc>
        <w:tc>
          <w:tcPr>
            <w:tcW w:type="dxa" w:w="180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4760"/>
            <w:tcBorders>
              <w:top w:val="single" w:color="C5D3E0" w:sz="1"/>
              <w:left w:val="single" w:color="C5D3E0" w:sz="1"/>
              <w:bottom w:val="single" w:color="C5D3E0" w:sz="1"/>
              <w:right w:val="single" w:color="C5D3E0" w:sz="1"/>
            </w:tcBorders>
            <w:shd w:fill="1A3460" w:val="clear"/>
            <w:tcMar>
              <w:top w:type="dxa" w:w="80"/>
              <w:left w:type="dxa" w:w="120"/>
              <w:bottom w:type="dxa" w:w="80"/>
              <w:right w:type="dxa" w:w="120"/>
            </w:tcMar>
          </w:tcPr>
          <w:p>
            <w:r>
              <w:rPr>
                <w:rFonts w:ascii="Arial" w:cs="Arial" w:eastAsia="Arial" w:hAnsi="Arial"/>
                <w:b/>
                <w:bCs/>
                <w:color w:val="FFFFFF"/>
                <w:sz w:val="20"/>
                <w:szCs w:val="20"/>
              </w:rPr>
              <w:t xml:space="preserve">Notes / Join Key</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Unique event record ID.</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Subject</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Meeting subject. For synced meetings, contains the meeting name as written by the source tool.</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StartDateTime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Meeting start timestamp (UTC). Primary time field for meeting analysis.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EndDateTime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Meeting end timestamp (UTC).</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DurationInMinutes</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Meeting duration in minutes.</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ActivityDate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Date of the event (local date portion of StartDateTime).</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WhoId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Contact or Lead ID. Same resolution logic as Task.WhoId.</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Who.Email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Contact/Lead (via Event)</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Contact email. Used to join meeting records to deal contacts via Contact.Email on OpportunityContactRole.</w:t>
            </w:r>
          </w:p>
        </w:tc>
      </w:tr>
      <w:tr>
        <w:tc>
          <w:tcPr>
            <w:tcW w:type="dxa" w:w="280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WhatId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EBF2FA" w:val="clear"/>
            <w:tcMar>
              <w:top w:type="dxa" w:w="70"/>
              <w:left w:type="dxa" w:w="120"/>
              <w:bottom w:type="dxa" w:w="70"/>
              <w:right w:type="dxa" w:w="120"/>
            </w:tcMar>
          </w:tcPr>
          <w:p>
            <w:r>
              <w:rPr>
                <w:rFonts w:ascii="Arial" w:cs="Arial" w:eastAsia="Arial" w:hAnsi="Arial"/>
                <w:b w:val="false"/>
                <w:bCs w:val="false"/>
                <w:color w:val="222222"/>
                <w:sz w:val="20"/>
                <w:szCs w:val="20"/>
              </w:rPr>
              <w:t xml:space="preserve">*** JOIN KEY *** — Opportunity or Account ID. Prefix 006 = Opportunity (direct link to deal).</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OwnerId</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Salesforce User ID of the rep who owns this calendar event.</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Owner.Email</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User (via 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Rep email for cross-tool rep identity matching.</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 type picklist (Meeting, Demo, QBR, etc.). Org-specific.</w:t>
            </w:r>
          </w:p>
        </w:tc>
      </w:tr>
      <w:tr>
        <w:tc>
          <w:tcPr>
            <w:tcW w:type="dxa" w:w="2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Courier New" w:cs="Courier New" w:eastAsia="Courier New" w:hAnsi="Courier New"/>
                <w:b w:val="false"/>
                <w:bCs w:val="false"/>
                <w:color w:val="003366"/>
                <w:sz w:val="18"/>
                <w:szCs w:val="18"/>
              </w:rPr>
              <w:t xml:space="preserve">EventSubtype</w:t>
            </w:r>
          </w:p>
        </w:tc>
        <w:tc>
          <w:tcPr>
            <w:tcW w:type="dxa" w:w="180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Event</w:t>
            </w:r>
          </w:p>
        </w:tc>
        <w:tc>
          <w:tcPr>
            <w:tcW w:type="dxa" w:w="4760"/>
            <w:tcBorders>
              <w:top w:val="single" w:color="C5D3E0" w:sz="1"/>
              <w:left w:val="single" w:color="C5D3E0" w:sz="1"/>
              <w:bottom w:val="single" w:color="C5D3E0" w:sz="1"/>
              <w:right w:val="single" w:color="C5D3E0" w:sz="1"/>
            </w:tcBorders>
            <w:shd w:fill="F5F5F5" w:val="clear"/>
            <w:tcMar>
              <w:top w:type="dxa" w:w="70"/>
              <w:left w:type="dxa" w:w="120"/>
              <w:bottom w:type="dxa" w:w="70"/>
              <w:right w:type="dxa" w:w="120"/>
            </w:tcMar>
          </w:tcPr>
          <w:p>
            <w:r>
              <w:rPr>
                <w:rFonts w:ascii="Arial" w:cs="Arial" w:eastAsia="Arial" w:hAnsi="Arial"/>
                <w:b w:val="false"/>
                <w:bCs w:val="false"/>
                <w:color w:val="222222"/>
                <w:sz w:val="20"/>
                <w:szCs w:val="20"/>
              </w:rPr>
              <w:t xml:space="preserve">System subtype. Differentiates video calls from in-person meetings in some configurations.</w:t>
            </w:r>
          </w:p>
        </w:tc>
      </w:tr>
    </w:tbl>
    <w:p>
      <w:r>
        <w:rPr>
          <w:sz w:val="12"/>
          <w:szCs w:val="1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Section 4  |  Full Join Key Chain — Activity to Revenue</w:t>
            </w:r>
          </w:p>
        </w:tc>
        <w:tc>
          <w:tcPr>
            <w:tcW w:type="dxa" w:w="2160"/>
            <w:tcBorders>
              <w:top w:val="none" w:color="FFFFFF" w:sz="0"/>
              <w:left w:val="none" w:color="FFFFFF" w:sz="0"/>
              <w:bottom w:val="none" w:color="FFFFFF" w:sz="0"/>
              <w:right w:val="none" w:color="FFFFFF" w:sz="0"/>
            </w:tcBorders>
            <w:shd w:fill="1A3460"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REFERENCE</w:t>
            </w:r>
          </w:p>
        </w:tc>
      </w:tr>
    </w:tbl>
    <w:p>
      <w:r>
        <w:rPr>
          <w:sz w:val="16"/>
          <w:szCs w:val="16"/>
        </w:rPr>
        <w:t xml:space="preserve"/>
      </w:r>
    </w:p>
    <w:p>
      <w:pPr>
        <w:spacing w:after="60" w:before="60"/>
      </w:pPr>
      <w:r>
        <w:rPr>
          <w:rFonts w:ascii="Arial" w:cs="Arial" w:eastAsia="Arial" w:hAnsi="Arial"/>
          <w:color w:val="333333"/>
          <w:sz w:val="20"/>
          <w:szCs w:val="20"/>
        </w:rPr>
        <w:t xml:space="preserve">The three datasets described in this spec are independent pulls. They are connected in Staq's data warehouse layer via the following key chain. This section defines that chain both as a schematic and as a plain-English description of what each hop resolves.</w:t>
      </w:r>
    </w:p>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4.1  Key Chain Diagram</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ACTIVITY LAYER (Report 3)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Task.Who.Email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Event.Who.Email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Task.WhatId (prefix 006)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Event.WhatId (prefix 006)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email match                                   │   │ direct OpportunityId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CONTACT ROLE LAYER (Report 1)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OpportunityContactRole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.Contact.Email  ◄── JOIN KEY ────┘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.OpportunityId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OpportunityId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DEAL LAYER (Report 1)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.Id          ◄── JOIN KEY  (from OCR.OpportunityId)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.Amount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.IsWon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.StageName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.CloseDate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.OwnerId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 Opportunity.Id</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STAGE HISTORY LAYER (Report 2)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OpportunityHistory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.OpportunityId  ◄── JOIN KEY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.StageName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    .CreatedDate                     │</w:t>
            </w:r>
          </w:p>
        </w:tc>
      </w:tr>
      <w:tr>
        <w:tc>
          <w:tcPr>
            <w:tcW w:type="dxa" w:w="9360"/>
            <w:tcBorders>
              <w:top w:val="none" w:color="FFFFFF" w:sz="0"/>
              <w:left w:val="none" w:color="FFFFFF" w:sz="0"/>
              <w:bottom w:val="none" w:color="FFFFFF" w:sz="0"/>
              <w:right w:val="none" w:color="FFFFFF" w:sz="0"/>
            </w:tcBorders>
            <w:shd w:fill="1E2736" w:val="clear"/>
            <w:tcMar>
              <w:top w:type="dxa" w:w="40"/>
              <w:left w:type="dxa" w:w="200"/>
              <w:bottom w:type="dxa" w:w="40"/>
              <w:right w:type="dxa" w:w="200"/>
            </w:tcMar>
          </w:tcPr>
          <w:p>
            <w:r>
              <w:rPr>
                <w:rFonts w:ascii="Courier New" w:cs="Courier New" w:eastAsia="Courier New" w:hAnsi="Courier New"/>
                <w:color w:val="E8EDF5"/>
                <w:sz w:val="18"/>
                <w:szCs w:val="18"/>
              </w:rPr>
              <w:t xml:space="preserve">└─────────────────────────────────────┘</w:t>
            </w:r>
          </w:p>
        </w:tc>
      </w:tr>
    </w:tbl>
    <w:p>
      <w:r>
        <w:rPr>
          <w:sz w:val="16"/>
          <w:szCs w:val="16"/>
        </w:rPr>
        <w:t xml:space="preserve"/>
      </w:r>
    </w:p>
    <w:p>
      <w:pPr>
        <w:pBdr>
          <w:bottom w:val="single" w:color="C5D3E0" w:sz="2" w:space="2"/>
        </w:pBdr>
        <w:spacing w:after="100" w:before="200"/>
      </w:pPr>
      <w:r>
        <w:rPr>
          <w:rFonts w:ascii="Arial" w:cs="Arial" w:eastAsia="Arial" w:hAnsi="Arial"/>
          <w:b/>
          <w:bCs/>
          <w:color w:val="0D1F3C"/>
          <w:sz w:val="22"/>
          <w:szCs w:val="22"/>
        </w:rPr>
        <w:t xml:space="preserve">4.2  Plain-English Explanation</w:t>
      </w:r>
    </w:p>
    <w:p>
      <w:r>
        <w:rPr>
          <w:sz w:val="8"/>
          <w:szCs w:val="8"/>
        </w:rPr>
        <w:t xml:space="preserve"/>
      </w:r>
    </w:p>
    <w:p>
      <w:pPr>
        <w:spacing w:after="60" w:before="60"/>
      </w:pPr>
      <w:r>
        <w:rPr>
          <w:rFonts w:ascii="Arial" w:cs="Arial" w:eastAsia="Arial" w:hAnsi="Arial"/>
          <w:color w:val="333333"/>
          <w:sz w:val="20"/>
          <w:szCs w:val="20"/>
        </w:rPr>
        <w:t xml:space="preserve">Starting from an activity record (a Task or Event), the attribution path works as follows: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5D3E0" w:sz="1"/>
              <w:left w:val="single" w:color="C5D3E0" w:sz="1"/>
              <w:bottom w:val="single" w:color="C5D3E0" w:sz="1"/>
              <w:right w:val="single" w:color="C5D3E0" w:sz="1"/>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Hop 1</w:t>
            </w:r>
          </w:p>
        </w:tc>
        <w:tc>
          <w:tcPr>
            <w:tcW w:type="dxa" w:w="8760"/>
            <w:tcBorders>
              <w:top w:val="single" w:color="C5D3E0" w:sz="1"/>
              <w:left w:val="single" w:color="C5D3E0" w:sz="1"/>
              <w:bottom w:val="single" w:color="C5D3E0" w:sz="1"/>
              <w:right w:val="single" w:color="C5D3E0" w:sz="1"/>
            </w:tcBorders>
            <w:shd w:fill="F5F5F5" w:val="clear"/>
            <w:tcMar>
              <w:top w:type="dxa" w:w="100"/>
              <w:left w:type="dxa" w:w="160"/>
              <w:bottom w:type="dxa" w:w="100"/>
              <w:right w:type="dxa" w:w="120"/>
            </w:tcMar>
          </w:tcPr>
          <w:p>
            <w:r>
              <w:rPr>
                <w:rFonts w:ascii="Arial" w:cs="Arial" w:eastAsia="Arial" w:hAnsi="Arial"/>
                <w:color w:val="333333"/>
                <w:sz w:val="18"/>
                <w:szCs w:val="18"/>
              </w:rPr>
              <w:t xml:space="preserve">Task.WhatId or Event.WhatId where the prefix is 006 gives a direct Opportunity ID. This is the fastest path — the activity was explicitly logged against a deal. When this field is populated and starts with 006, skip to Hop 3.</w:t>
            </w:r>
          </w:p>
        </w:tc>
      </w:tr>
      <w:tr>
        <w:tc>
          <w:tcPr>
            <w:tcW w:type="dxa" w:w="600"/>
            <w:tcBorders>
              <w:top w:val="single" w:color="C5D3E0" w:sz="1"/>
              <w:left w:val="single" w:color="C5D3E0" w:sz="1"/>
              <w:bottom w:val="single" w:color="C5D3E0" w:sz="1"/>
              <w:right w:val="single" w:color="C5D3E0" w:sz="1"/>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Hop 2</w:t>
            </w:r>
          </w:p>
        </w:tc>
        <w:tc>
          <w:tcPr>
            <w:tcW w:type="dxa" w:w="8760"/>
            <w:tcBorders>
              <w:top w:val="single" w:color="C5D3E0" w:sz="1"/>
              <w:left w:val="single" w:color="C5D3E0" w:sz="1"/>
              <w:bottom w:val="single" w:color="C5D3E0" w:sz="1"/>
              <w:right w:val="single" w:color="C5D3E0" w:sz="1"/>
            </w:tcBorders>
            <w:shd w:fill="F5F5F5" w:val="clear"/>
            <w:tcMar>
              <w:top w:type="dxa" w:w="100"/>
              <w:left w:type="dxa" w:w="160"/>
              <w:bottom w:type="dxa" w:w="100"/>
              <w:right w:type="dxa" w:w="120"/>
            </w:tcMar>
          </w:tcPr>
          <w:p>
            <w:r>
              <w:rPr>
                <w:rFonts w:ascii="Arial" w:cs="Arial" w:eastAsia="Arial" w:hAnsi="Arial"/>
                <w:color w:val="333333"/>
                <w:sz w:val="18"/>
                <w:szCs w:val="18"/>
              </w:rPr>
              <w:t xml:space="preserve">If WhatId is null or not an Opportunity, resolve via Task.Who.Email or Event.Who.Email. Match this email against Contact.Email on OpportunityContactRole. This returns one or more Opportunity IDs associated with that contact. Use the most recent open or closed opportunity where the activity date falls within the deal cycle (CreatedDate to CloseDate) as the attribution target.</w:t>
            </w:r>
          </w:p>
        </w:tc>
      </w:tr>
      <w:tr>
        <w:tc>
          <w:tcPr>
            <w:tcW w:type="dxa" w:w="600"/>
            <w:tcBorders>
              <w:top w:val="single" w:color="C5D3E0" w:sz="1"/>
              <w:left w:val="single" w:color="C5D3E0" w:sz="1"/>
              <w:bottom w:val="single" w:color="C5D3E0" w:sz="1"/>
              <w:right w:val="single" w:color="C5D3E0" w:sz="1"/>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Hop 3</w:t>
            </w:r>
          </w:p>
        </w:tc>
        <w:tc>
          <w:tcPr>
            <w:tcW w:type="dxa" w:w="8760"/>
            <w:tcBorders>
              <w:top w:val="single" w:color="C5D3E0" w:sz="1"/>
              <w:left w:val="single" w:color="C5D3E0" w:sz="1"/>
              <w:bottom w:val="single" w:color="C5D3E0" w:sz="1"/>
              <w:right w:val="single" w:color="C5D3E0" w:sz="1"/>
            </w:tcBorders>
            <w:shd w:fill="F5F5F5" w:val="clear"/>
            <w:tcMar>
              <w:top w:type="dxa" w:w="100"/>
              <w:left w:type="dxa" w:w="160"/>
              <w:bottom w:type="dxa" w:w="100"/>
              <w:right w:type="dxa" w:w="120"/>
            </w:tcMar>
          </w:tcPr>
          <w:p>
            <w:r>
              <w:rPr>
                <w:rFonts w:ascii="Arial" w:cs="Arial" w:eastAsia="Arial" w:hAnsi="Arial"/>
                <w:color w:val="333333"/>
                <w:sz w:val="18"/>
                <w:szCs w:val="18"/>
              </w:rPr>
              <w:t xml:space="preserve">Opportunity.Id is now known. Look up Opportunity fields (Amount, IsWon, StageName, CloseDate, OwnerId) from Report 1. This is the revenue outcome for this activity.</w:t>
            </w:r>
          </w:p>
        </w:tc>
      </w:tr>
      <w:tr>
        <w:tc>
          <w:tcPr>
            <w:tcW w:type="dxa" w:w="600"/>
            <w:tcBorders>
              <w:top w:val="single" w:color="C5D3E0" w:sz="1"/>
              <w:left w:val="single" w:color="C5D3E0" w:sz="1"/>
              <w:bottom w:val="single" w:color="C5D3E0" w:sz="1"/>
              <w:right w:val="single" w:color="C5D3E0" w:sz="1"/>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Hop 4</w:t>
            </w:r>
          </w:p>
        </w:tc>
        <w:tc>
          <w:tcPr>
            <w:tcW w:type="dxa" w:w="8760"/>
            <w:tcBorders>
              <w:top w:val="single" w:color="C5D3E0" w:sz="1"/>
              <w:left w:val="single" w:color="C5D3E0" w:sz="1"/>
              <w:bottom w:val="single" w:color="C5D3E0" w:sz="1"/>
              <w:right w:val="single" w:color="C5D3E0" w:sz="1"/>
            </w:tcBorders>
            <w:shd w:fill="F5F5F5" w:val="clear"/>
            <w:tcMar>
              <w:top w:type="dxa" w:w="100"/>
              <w:left w:type="dxa" w:w="160"/>
              <w:bottom w:type="dxa" w:w="100"/>
              <w:right w:type="dxa" w:w="120"/>
            </w:tcMar>
          </w:tcPr>
          <w:p>
            <w:r>
              <w:rPr>
                <w:rFonts w:ascii="Arial" w:cs="Arial" w:eastAsia="Arial" w:hAnsi="Arial"/>
                <w:color w:val="333333"/>
                <w:sz w:val="18"/>
                <w:szCs w:val="18"/>
              </w:rPr>
              <w:t xml:space="preserve">Look up OpportunityHistory records where OpportunityHistory.OpportunityId = Opportunity.Id from Report 2. This gives the stage timeline — which stage the deal was in when the activity occurred, and how long it subsequently took to progress or close.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thick" w:color="D4A017" w:sz="12"/>
              <w:bottom w:val="single" w:color="D4A017" w:sz="4"/>
              <w:right w:val="single" w:color="D4A017" w:sz="1"/>
            </w:tcBorders>
            <w:shd w:fill="FEF3C7" w:val="clear"/>
            <w:tcMar>
              <w:top w:type="dxa" w:w="120"/>
              <w:left w:type="dxa" w:w="200"/>
              <w:bottom w:type="dxa" w:w="120"/>
              <w:right w:type="dxa" w:w="200"/>
            </w:tcMar>
          </w:tcPr>
          <w:p>
            <w:r>
              <w:rPr>
                <w:rFonts w:ascii="Arial" w:cs="Arial" w:eastAsia="Arial" w:hAnsi="Arial"/>
                <w:b/>
                <w:bCs/>
                <w:color w:val="7B4F00"/>
                <w:sz w:val="20"/>
                <w:szCs w:val="20"/>
              </w:rPr>
              <w:t xml:space="preserve">⚠  CONDITIONAL / CAVEAT</w:t>
            </w:r>
          </w:p>
          <w:p>
            <w:r>
              <w:rPr>
                <w:rFonts w:ascii="Arial" w:cs="Arial" w:eastAsia="Arial" w:hAnsi="Arial"/>
                <w:color w:val="5D3A00"/>
                <w:sz w:val="18"/>
                <w:szCs w:val="18"/>
              </w:rPr>
              <w:t xml:space="preserve">Hop 2 (email match) can return multiple Opportunity matches for a contact who appeared on several deals.</w:t>
            </w:r>
          </w:p>
          <w:p>
            <w:r>
              <w:rPr>
                <w:rFonts w:ascii="Arial" w:cs="Arial" w:eastAsia="Arial" w:hAnsi="Arial"/>
                <w:color w:val="5D3A00"/>
                <w:sz w:val="18"/>
                <w:szCs w:val="18"/>
              </w:rPr>
              <w:t xml:space="preserve">Staq must apply a date-range filter to limit attribution to the deal that was active at the time of the activity.</w:t>
            </w:r>
          </w:p>
          <w:p>
            <w:r>
              <w:rPr>
                <w:rFonts w:ascii="Arial" w:cs="Arial" w:eastAsia="Arial" w:hAnsi="Arial"/>
                <w:color w:val="5D3A00"/>
                <w:sz w:val="18"/>
                <w:szCs w:val="18"/>
              </w:rPr>
              <w:t xml:space="preserve">Attribution to multiple deals (multi-touch) is valid and expected — do not deduplicate at this step.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D1F3C" w:val="clear"/>
            <w:tcMar>
              <w:top w:type="dxa" w:w="120"/>
              <w:left w:type="dxa" w:w="200"/>
              <w:bottom w:type="dxa" w:w="120"/>
              <w:right w:type="dxa" w:w="100"/>
            </w:tcMar>
          </w:tcPr>
          <w:p>
            <w:r>
              <w:rPr>
                <w:rFonts w:ascii="Arial" w:cs="Arial" w:eastAsia="Arial" w:hAnsi="Arial"/>
                <w:b/>
                <w:bCs/>
                <w:color w:val="FFFFFF"/>
                <w:sz w:val="26"/>
                <w:szCs w:val="26"/>
              </w:rPr>
              <w:t xml:space="preserve">Section 5  |  Open Questions — Admin Confirmation Required</w:t>
            </w:r>
          </w:p>
        </w:tc>
        <w:tc>
          <w:tcPr>
            <w:tcW w:type="dxa" w:w="2160"/>
            <w:tcBorders>
              <w:top w:val="none" w:color="FFFFFF" w:sz="0"/>
              <w:left w:val="none" w:color="FFFFFF" w:sz="0"/>
              <w:bottom w:val="none" w:color="FFFFFF" w:sz="0"/>
              <w:right w:val="none" w:color="FFFFFF" w:sz="0"/>
            </w:tcBorders>
            <w:shd w:fill="E65100" w:val="clear"/>
            <w:tcMar>
              <w:top w:type="dxa" w:w="120"/>
              <w:left w:type="dxa" w:w="100"/>
              <w:bottom w:type="dxa" w:w="120"/>
              <w:right w:type="dxa" w:w="100"/>
            </w:tcMar>
            <w:vAlign w:val="center"/>
          </w:tcPr>
          <w:p>
            <w:pPr>
              <w:jc w:val="center"/>
            </w:pPr>
            <w:r>
              <w:rPr>
                <w:rFonts w:ascii="Arial" w:cs="Arial" w:eastAsia="Arial" w:hAnsi="Arial"/>
                <w:b/>
                <w:bCs/>
                <w:color w:val="FFFFFF"/>
                <w:sz w:val="18"/>
                <w:szCs w:val="18"/>
              </w:rPr>
              <w:t xml:space="preserve">ACTION REQUIRED</w:t>
            </w:r>
          </w:p>
        </w:tc>
      </w:tr>
    </w:tbl>
    <w:p>
      <w:r>
        <w:rPr>
          <w:sz w:val="16"/>
          <w:szCs w:val="16"/>
        </w:rPr>
        <w:t xml:space="preserve"/>
      </w:r>
    </w:p>
    <w:p>
      <w:pPr>
        <w:spacing w:after="60" w:before="60"/>
      </w:pPr>
      <w:r>
        <w:rPr>
          <w:rFonts w:ascii="Arial" w:cs="Arial" w:eastAsia="Arial" w:hAnsi="Arial"/>
          <w:color w:val="333333"/>
          <w:sz w:val="20"/>
          <w:szCs w:val="20"/>
        </w:rPr>
        <w:t xml:space="preserve">The following must be answered by the customer's Salesforce admin before the activity data pull (Report 3) can be executed and interpreted correctly. Items 1-2 are blockers. Items 3-5 are needed for accurate field mapping and filtering.</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BLOCKER: Are any third-party sales tools (e.g. sales engagement platforms, email tools) currently configured to sync activity records to Salesforce? Confirm which tools are active and whether their Salesforce sync is enabled and authenticated.</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BLOCKER: For each tool confirmed as syncing to Salesforce — what object does it write to (Task, Event, or both), and what Subject prefix or Type value does it use? This is required to filter and segment activity records by source in Report 3.</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What are the full Opportunity Stage picklist values in this org, in their defined order? Required to correctly interpret StageName values in Reports 1 and 2 and to build accurate stage-velocity calculations.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What Task Type and Subject conventions does the org use? Are activities logged under standard types (Email, Call) or are there custom types? This determines how to segment activity types in Report 3.</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5</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Are there any field-level security restrictions on the integration user profile that would prevent reading Task.Description, Event.Description, or Contact.Email? These fields may be masked or unavailable depending on profile configuration.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6</w:t>
            </w:r>
          </w:p>
        </w:tc>
        <w:tc>
          <w:tcPr>
            <w:tcW w:type="dxa" w:w="87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0"/>
                <w:szCs w:val="20"/>
              </w:rPr>
              <w:t xml:space="preserve">What is the approximate total row count for Task and Event objects in this org? This determines whether the initial activity pull should use Bulk API 2.0 (&gt;50,000 rows) or the standard REST API.</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STAQ</w:t>
            </w:r>
          </w:p>
          <w:p>
            <w:pPr>
              <w:jc w:val="center"/>
            </w:pPr>
            <w:r>
              <w:rPr>
                <w:rFonts w:ascii="Arial" w:cs="Arial" w:eastAsia="Arial" w:hAnsi="Arial"/>
                <w:color w:val="7FA8CC"/>
                <w:sz w:val="18"/>
                <w:szCs w:val="18"/>
              </w:rPr>
              <w:t xml:space="preserve">Questions? Reach the Staq engineering team at eng@staq.io</w:t>
            </w:r>
          </w:p>
        </w:tc>
      </w:tr>
    </w:tbl>
    <w:sectPr>
      <w:headerReference w:type="default" r:id="rId7"/>
      <w:footerReference w:type="default" r:id="rId8"/>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2" w:space="1"/>
      </w:pBdr>
      <w:spacing w:before="80"/>
    </w:pPr>
    <w:r>
      <w:rPr>
        <w:rFonts w:ascii="Arial" w:cs="Arial" w:eastAsia="Arial" w:hAnsi="Arial"/>
        <w:color w:val="888888"/>
        <w:sz w:val="18"/>
        <w:szCs w:val="18"/>
      </w:rPr>
      <w:t xml:space="preserve">Staq Confidential  |  Internal Engineering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00"/>
            <w:left w:type="dxa" w:w="200"/>
            <w:bottom w:type="dxa" w:w="100"/>
            <w:right w:type="dxa" w:w="200"/>
          </w:tcMar>
        </w:tcPr>
        <w:p>
          <w:r>
            <w:rPr>
              <w:rFonts w:ascii="Arial" w:cs="Arial" w:eastAsia="Arial" w:hAnsi="Arial"/>
              <w:b/>
              <w:bCs/>
              <w:color w:val="FFFFFF"/>
              <w:sz w:val="28"/>
              <w:szCs w:val="28"/>
            </w:rPr>
            <w:t xml:space="preserve">STAQ</w:t>
          </w:r>
          <w:r>
            <w:rPr>
              <w:rFonts w:ascii="Arial" w:cs="Arial" w:eastAsia="Arial" w:hAnsi="Arial"/>
              <w:color w:val="A8C4E0"/>
              <w:sz w:val="20"/>
              <w:szCs w:val="20"/>
            </w:rPr>
            <w:t xml:space="preserve">  |  Salesforce Revenue Reporting — Engineering Data Specification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2026-03-17T22:00:31.513Z</dcterms:created>
  <dcterms:modified xsi:type="dcterms:W3CDTF">2026-03-17T22:00:31.514Z</dcterms:modified>
</cp:coreProperties>
</file>

<file path=docProps/custom.xml><?xml version="1.0" encoding="utf-8"?>
<Properties xmlns="http://schemas.openxmlformats.org/officeDocument/2006/custom-properties" xmlns:vt="http://schemas.openxmlformats.org/officeDocument/2006/docPropsVTypes"/>
</file>