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olor w:val="1B3A5C"/>
          <w:sz w:val="52"/>
          <w:szCs w:val="52"/>
        </w:rPr>
        <w:t xml:space="preserve">Revenue Reporting Data</w:t>
      </w:r>
    </w:p>
    <w:p>
      <w:pPr>
        <w:spacing w:before="0" w:after="60"/>
      </w:pPr>
      <w:r>
        <w:rPr>
          <w:rFonts w:ascii="Arial" w:cs="Arial" w:eastAsia="Arial" w:hAnsi="Arial"/>
          <w:color w:val="2E75B6"/>
          <w:sz w:val="25"/>
          <w:szCs w:val="25"/>
        </w:rPr>
        <w:t xml:space="preserve">What to Pull from Salesforce and How to Access It</w:t>
      </w:r>
    </w:p>
    <w:p>
      <w:pPr>
        <w:spacing w:before="0" w:after="320"/>
      </w:pPr>
      <w:r>
        <w:rPr>
          <w:rFonts w:ascii="Arial" w:cs="Arial" w:eastAsia="Arial" w:hAnsi="Arial"/>
          <w:color w:val="888888"/>
          <w:sz w:val="19"/>
          <w:szCs w:val="19"/>
        </w:rPr>
        <w:t xml:space="preserve">Staq  |  Engineering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before="0" w:after="80"/>
            </w:pPr>
            <w:r>
              <w:rPr>
                <w:rFonts w:ascii="Arial" w:cs="Arial" w:eastAsia="Arial" w:hAnsi="Arial"/>
                <w:b/>
                <w:bCs/>
                <w:color w:val="1B3A5C"/>
                <w:sz w:val="21"/>
                <w:szCs w:val="21"/>
              </w:rPr>
              <w:t xml:space="preserve">Overview</w:t>
            </w:r>
          </w:p>
          <w:p>
            <w:pPr>
              <w:spacing w:before="0" w:after="60"/>
            </w:pPr>
            <w:r>
              <w:rPr>
                <w:rFonts w:ascii="Arial" w:cs="Arial" w:eastAsia="Arial" w:hAnsi="Arial"/>
                <w:sz w:val="20"/>
                <w:szCs w:val="20"/>
              </w:rPr>
              <w:t xml:space="preserve">This document covers the three revenue reporting data pulls Staq needs from a customer's Salesforce instance. It tells engineers what object to query, which fields to pull, and how they connect to each other. Authentication setup is covered in Section 1.</w:t>
            </w:r>
          </w:p>
          <w:p>
            <w:pPr>
              <w:spacing w:before="0" w:after="0"/>
            </w:pPr>
            <w:r>
              <w:rPr>
                <w:rFonts w:ascii="Arial" w:cs="Arial" w:eastAsia="Arial" w:hAnsi="Arial"/>
                <w:b/>
                <w:bCs/>
                <w:sz w:val="20"/>
                <w:szCs w:val="20"/>
              </w:rPr>
              <w:t xml:space="preserve">Reports covered: </w:t>
            </w:r>
            <w:r>
              <w:rPr>
                <w:rFonts w:ascii="Arial" w:cs="Arial" w:eastAsia="Arial" w:hAnsi="Arial"/>
                <w:sz w:val="20"/>
                <w:szCs w:val="20"/>
              </w:rPr>
              <w:t xml:space="preserve">(1) Opportunities with Contact Roles  |  (2) Opportunity Stage History  |  (3) Activities — Tasks &amp; Events</w:t>
            </w:r>
          </w:p>
        </w:tc>
      </w:tr>
    </w:tbl>
    <w:p>
      <w:pPr>
        <w:spacing w:before="80" w:after="80"/>
      </w:pPr>
      <w:r>
        <w:t xml:space="preserve"/>
      </w:r>
    </w:p>
    <w:p>
      <w:pPr>
        <w:pBdr>
          <w:bottom w:val="single" w:color="D6E4F0" w:sz="4" w:space="1"/>
        </w:pBdr>
        <w:spacing w:before="160" w:after="160"/>
      </w:pPr>
      <w:r>
        <w:t xml:space="preserve"/>
      </w:r>
    </w:p>
    <w:p>
      <w:pPr>
        <w:pStyle w:val="Heading1"/>
        <w:spacing w:before="320" w:after="140"/>
      </w:pPr>
      <w:r>
        <w:rPr>
          <w:rFonts w:ascii="Arial" w:cs="Arial" w:eastAsia="Arial" w:hAnsi="Arial"/>
          <w:b/>
          <w:bCs/>
          <w:color w:val="1B3A5C"/>
          <w:sz w:val="30"/>
          <w:szCs w:val="30"/>
        </w:rPr>
        <w:t xml:space="preserve">1. How to Access the Data — OAuth Setup</w:t>
      </w:r>
    </w:p>
    <w:p>
      <w:pPr>
        <w:spacing w:before="60" w:after="60"/>
      </w:pPr>
      <w:r>
        <w:rPr>
          <w:rFonts w:ascii="Arial" w:cs="Arial" w:eastAsia="Arial" w:hAnsi="Arial"/>
          <w:sz w:val="20"/>
          <w:szCs w:val="20"/>
        </w:rPr>
        <w:t xml:space="preserve">Salesforce uses OAuth 2.0 to authenticate API access. The customer's Salesforce admin needs to create a Connected App and provide Staq with credentials. Here is what to ask for and what endpoint to hit.</w:t>
      </w:r>
    </w:p>
    <w:p>
      <w:pPr>
        <w:spacing w:before="80" w:after="80"/>
      </w:pPr>
      <w:r>
        <w:t xml:space="preserve"/>
      </w:r>
    </w:p>
    <w:p>
      <w:pPr>
        <w:pStyle w:val="Heading2"/>
        <w:spacing w:before="220" w:after="100"/>
      </w:pPr>
      <w:r>
        <w:rPr>
          <w:rFonts w:ascii="Arial" w:cs="Arial" w:eastAsia="Arial" w:hAnsi="Arial"/>
          <w:b/>
          <w:bCs/>
          <w:color w:val="2E75B6"/>
          <w:sz w:val="23"/>
          <w:szCs w:val="23"/>
        </w:rPr>
        <w:t xml:space="preserve">1.1  What the Customer Admin Needs to Set Up</w:t>
      </w:r>
    </w:p>
    <w:p>
      <w:pPr>
        <w:pStyle w:val="ListParagraph"/>
        <w:numPr>
          <w:ilvl w:val="0"/>
          <w:numId w:val="2"/>
        </w:numPr>
        <w:spacing w:before="36" w:after="36"/>
      </w:pPr>
      <w:r>
        <w:rPr>
          <w:rFonts w:ascii="Arial" w:cs="Arial" w:eastAsia="Arial" w:hAnsi="Arial"/>
          <w:sz w:val="20"/>
          <w:szCs w:val="20"/>
        </w:rPr>
        <w:t xml:space="preserve">Create a Connected App in their Salesforce org (Setup → App Manager → New Connected App)</w:t>
      </w:r>
    </w:p>
    <w:p>
      <w:pPr>
        <w:pStyle w:val="ListParagraph"/>
        <w:numPr>
          <w:ilvl w:val="0"/>
          <w:numId w:val="2"/>
        </w:numPr>
        <w:spacing w:before="36" w:after="36"/>
      </w:pPr>
      <w:r>
        <w:rPr>
          <w:rFonts w:ascii="Arial" w:cs="Arial" w:eastAsia="Arial" w:hAnsi="Arial"/>
          <w:sz w:val="20"/>
          <w:szCs w:val="20"/>
        </w:rPr>
        <w:t xml:space="preserve">Enable API access and select the scope: "Manage and access your data (api)"</w:t>
      </w:r>
    </w:p>
    <w:p>
      <w:pPr>
        <w:pStyle w:val="ListParagraph"/>
        <w:numPr>
          <w:ilvl w:val="0"/>
          <w:numId w:val="2"/>
        </w:numPr>
        <w:spacing w:before="36" w:after="36"/>
      </w:pPr>
      <w:r>
        <w:rPr>
          <w:rFonts w:ascii="Arial" w:cs="Arial" w:eastAsia="Arial" w:hAnsi="Arial"/>
          <w:sz w:val="20"/>
          <w:szCs w:val="20"/>
        </w:rPr>
        <w:t xml:space="preserve">Create a dedicated Integration User with read access to Opportunity, Contact, Task, Event, and User objects</w:t>
      </w:r>
    </w:p>
    <w:p>
      <w:pPr>
        <w:pStyle w:val="ListParagraph"/>
        <w:numPr>
          <w:ilvl w:val="0"/>
          <w:numId w:val="2"/>
        </w:numPr>
        <w:spacing w:before="36" w:after="36"/>
      </w:pPr>
      <w:r>
        <w:rPr>
          <w:rFonts w:ascii="Arial" w:cs="Arial" w:eastAsia="Arial" w:hAnsi="Arial"/>
          <w:sz w:val="20"/>
          <w:szCs w:val="20"/>
        </w:rPr>
        <w:t xml:space="preserve">Share the Consumer Key, Consumer Secret, Integration User username, and password + security token with Staq engineering</w:t>
      </w:r>
    </w:p>
    <w:p>
      <w:pPr>
        <w:spacing w:before="80" w:after="80"/>
      </w:pPr>
      <w:r>
        <w:t xml:space="preserve"/>
      </w:r>
    </w:p>
    <w:p>
      <w:pPr>
        <w:pStyle w:val="Heading2"/>
        <w:spacing w:before="220" w:after="100"/>
      </w:pPr>
      <w:r>
        <w:rPr>
          <w:rFonts w:ascii="Arial" w:cs="Arial" w:eastAsia="Arial" w:hAnsi="Arial"/>
          <w:b/>
          <w:bCs/>
          <w:color w:val="2E75B6"/>
          <w:sz w:val="23"/>
          <w:szCs w:val="23"/>
        </w:rPr>
        <w:t xml:space="preserve">1.2  Token Endpoint</w:t>
      </w:r>
    </w:p>
    <w:p>
      <w:pPr>
        <w:spacing w:before="60" w:after="60"/>
      </w:pPr>
      <w:r>
        <w:rPr>
          <w:rFonts w:ascii="Arial" w:cs="Arial" w:eastAsia="Arial" w:hAnsi="Arial"/>
          <w:sz w:val="20"/>
          <w:szCs w:val="20"/>
        </w:rPr>
        <w:t xml:space="preserve">Once credentials are in hand, get an access token with a single POST: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CDD6F4"/>
                <w:sz w:val="17"/>
                <w:szCs w:val="17"/>
              </w:rPr>
              <w:t xml:space="preserve">POST https://login.salesforce.com/services/oauth2/token</w:t>
            </w:r>
          </w:p>
          <w:p>
            <w:pPr>
              <w:spacing w:before="18" w:after="18"/>
            </w:pPr>
            <w:r>
              <w:rPr>
                <w:rFonts w:ascii="Courier New" w:cs="Courier New" w:eastAsia="Courier New" w:hAnsi="Courier New"/>
                <w:color w:val="CDD6F4"/>
                <w:sz w:val="17"/>
                <w:szCs w:val="17"/>
              </w:rPr>
              <w:t xml:space="preserve"/>
            </w:r>
          </w:p>
          <w:p>
            <w:pPr>
              <w:spacing w:before="18" w:after="18"/>
            </w:pPr>
            <w:r>
              <w:rPr>
                <w:rFonts w:ascii="Courier New" w:cs="Courier New" w:eastAsia="Courier New" w:hAnsi="Courier New"/>
                <w:color w:val="CDD6F4"/>
                <w:sz w:val="17"/>
                <w:szCs w:val="17"/>
              </w:rPr>
              <w:t xml:space="preserve">grant_type=password</w:t>
            </w:r>
          </w:p>
          <w:p>
            <w:pPr>
              <w:spacing w:before="18" w:after="18"/>
            </w:pPr>
            <w:r>
              <w:rPr>
                <w:rFonts w:ascii="Courier New" w:cs="Courier New" w:eastAsia="Courier New" w:hAnsi="Courier New"/>
                <w:color w:val="CDD6F4"/>
                <w:sz w:val="17"/>
                <w:szCs w:val="17"/>
              </w:rPr>
              <w:t xml:space="preserve">&amp;client_id=&lt;Consumer Key&gt;</w:t>
            </w:r>
          </w:p>
          <w:p>
            <w:pPr>
              <w:spacing w:before="18" w:after="18"/>
            </w:pPr>
            <w:r>
              <w:rPr>
                <w:rFonts w:ascii="Courier New" w:cs="Courier New" w:eastAsia="Courier New" w:hAnsi="Courier New"/>
                <w:color w:val="CDD6F4"/>
                <w:sz w:val="17"/>
                <w:szCs w:val="17"/>
              </w:rPr>
              <w:t xml:space="preserve">&amp;client_secret=&lt;Consumer Secret&gt;</w:t>
            </w:r>
          </w:p>
          <w:p>
            <w:pPr>
              <w:spacing w:before="18" w:after="18"/>
            </w:pPr>
            <w:r>
              <w:rPr>
                <w:rFonts w:ascii="Courier New" w:cs="Courier New" w:eastAsia="Courier New" w:hAnsi="Courier New"/>
                <w:color w:val="CDD6F4"/>
                <w:sz w:val="17"/>
                <w:szCs w:val="17"/>
              </w:rPr>
              <w:t xml:space="preserve">&amp;username=&lt;Integration User email&gt;</w:t>
            </w:r>
          </w:p>
          <w:p>
            <w:pPr>
              <w:spacing w:before="18" w:after="18"/>
            </w:pPr>
            <w:r>
              <w:rPr>
                <w:rFonts w:ascii="Courier New" w:cs="Courier New" w:eastAsia="Courier New" w:hAnsi="Courier New"/>
                <w:color w:val="CDD6F4"/>
                <w:sz w:val="17"/>
                <w:szCs w:val="17"/>
              </w:rPr>
              <w:t xml:space="preserve">&amp;password=&lt;password + security token concatenated&gt;</w:t>
            </w:r>
          </w:p>
        </w:tc>
      </w:tr>
    </w:tbl>
    <w:p>
      <w:pPr>
        <w:spacing w:before="80" w:after="80"/>
      </w:pPr>
      <w:r>
        <w:t xml:space="preserve"/>
      </w:r>
    </w:p>
    <w:p>
      <w:pPr>
        <w:spacing w:before="60" w:after="60"/>
      </w:pPr>
      <w:r>
        <w:rPr>
          <w:rFonts w:ascii="Arial" w:cs="Arial" w:eastAsia="Arial" w:hAnsi="Arial"/>
          <w:sz w:val="20"/>
          <w:szCs w:val="20"/>
        </w:rPr>
        <w:t xml:space="preserve">The response returns an access_token and instance_url. Use both on every subsequent request: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CDD6F4"/>
                <w:sz w:val="17"/>
                <w:szCs w:val="17"/>
              </w:rPr>
              <w:t xml:space="preserve">GET {instance_url}/services/data/v63.0/query/?q=&lt;SOQL query&gt;</w:t>
            </w:r>
          </w:p>
          <w:p>
            <w:pPr>
              <w:spacing w:before="18" w:after="18"/>
            </w:pPr>
            <w:r>
              <w:rPr>
                <w:rFonts w:ascii="Courier New" w:cs="Courier New" w:eastAsia="Courier New" w:hAnsi="Courier New"/>
                <w:color w:val="CDD6F4"/>
                <w:sz w:val="17"/>
                <w:szCs w:val="17"/>
              </w:rPr>
              <w:t xml:space="preserve">Authorization: Bearer {access_token}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6"/>
              <w:left w:val="single" w:color="FFC107" w:sz="12"/>
              <w:bottom w:val="single" w:color="FFC107" w:sz="6"/>
              <w:right w:val="single" w:color="FFC107" w:sz="6"/>
            </w:tcBorders>
            <w:shd w:fill="FFF3CD" w:val="clear"/>
            <w:tcMar>
              <w:top w:type="dxa" w:w="120"/>
              <w:left w:type="dxa" w:w="180"/>
              <w:bottom w:type="dxa" w:w="120"/>
              <w:right w:type="dxa" w:w="180"/>
            </w:tcMar>
          </w:tcPr>
          <w:p>
            <w:pPr>
              <w:spacing w:before="0" w:after="80"/>
            </w:pPr>
            <w:r>
              <w:rPr>
                <w:rFonts w:ascii="Arial" w:cs="Arial" w:eastAsia="Arial" w:hAnsi="Arial"/>
                <w:b/>
                <w:bCs/>
                <w:sz w:val="20"/>
                <w:szCs w:val="20"/>
              </w:rPr>
              <w:t xml:space="preserve">⚠️  Sandbox vs. Production</w:t>
            </w:r>
          </w:p>
          <w:p>
            <w:pPr>
              <w:spacing w:before="36" w:after="36"/>
            </w:pPr>
            <w:r>
              <w:rPr>
                <w:rFonts w:ascii="Arial" w:cs="Arial" w:eastAsia="Arial" w:hAnsi="Arial"/>
                <w:sz w:val="19"/>
                <w:szCs w:val="19"/>
              </w:rPr>
              <w:t xml:space="preserve">If pulling from a sandbox, replace login.salesforce.com with test.salesforce.com in the token endpoint URL. All other patterns are identical.</w:t>
            </w:r>
          </w:p>
        </w:tc>
      </w:tr>
    </w:tbl>
    <w:p>
      <w:pPr>
        <w:spacing w:before="80" w:after="80"/>
      </w:pPr>
      <w:r>
        <w:t xml:space="preserve"/>
      </w:r>
    </w:p>
    <w:p>
      <w:pPr>
        <w:pStyle w:val="Heading2"/>
        <w:spacing w:before="220" w:after="100"/>
      </w:pPr>
      <w:r>
        <w:rPr>
          <w:rFonts w:ascii="Arial" w:cs="Arial" w:eastAsia="Arial" w:hAnsi="Arial"/>
          <w:b/>
          <w:bCs/>
          <w:color w:val="2E75B6"/>
          <w:sz w:val="23"/>
          <w:szCs w:val="23"/>
        </w:rPr>
        <w:t xml:space="preserve">1.3  Pagination</w:t>
      </w:r>
    </w:p>
    <w:p>
      <w:pPr>
        <w:spacing w:before="60" w:after="60"/>
      </w:pPr>
      <w:r>
        <w:rPr>
          <w:rFonts w:ascii="Arial" w:cs="Arial" w:eastAsia="Arial" w:hAnsi="Arial"/>
          <w:sz w:val="20"/>
          <w:szCs w:val="20"/>
        </w:rPr>
        <w:t xml:space="preserve">Salesforce returns a maximum of 2,000 records per response. If a query returns more, the response includes a nextRecordsUrl. Follow it until done = true.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CDD6F4"/>
                <w:sz w:val="17"/>
                <w:szCs w:val="17"/>
              </w:rPr>
              <w:t xml:space="preserve">// If response.done === false, fetch the next page:</w:t>
            </w:r>
          </w:p>
          <w:p>
            <w:pPr>
              <w:spacing w:before="18" w:after="18"/>
            </w:pPr>
            <w:r>
              <w:rPr>
                <w:rFonts w:ascii="Courier New" w:cs="Courier New" w:eastAsia="Courier New" w:hAnsi="Courier New"/>
                <w:color w:val="CDD6F4"/>
                <w:sz w:val="17"/>
                <w:szCs w:val="17"/>
              </w:rPr>
              <w:t xml:space="preserve">GET {instance_url}{response.nextRecordsUrl}</w:t>
            </w:r>
          </w:p>
          <w:p>
            <w:pPr>
              <w:spacing w:before="18" w:after="18"/>
            </w:pPr>
            <w:r>
              <w:rPr>
                <w:rFonts w:ascii="Courier New" w:cs="Courier New" w:eastAsia="Courier New" w:hAnsi="Courier New"/>
                <w:color w:val="CDD6F4"/>
                <w:sz w:val="17"/>
                <w:szCs w:val="17"/>
              </w:rPr>
              <w:t xml:space="preserve">Authorization: Bearer {access_token}</w:t>
            </w:r>
          </w:p>
          <w:p>
            <w:pPr>
              <w:spacing w:before="18" w:after="18"/>
            </w:pPr>
            <w:r>
              <w:rPr>
                <w:rFonts w:ascii="Courier New" w:cs="Courier New" w:eastAsia="Courier New" w:hAnsi="Courier New"/>
                <w:color w:val="CDD6F4"/>
                <w:sz w:val="17"/>
                <w:szCs w:val="17"/>
              </w:rPr>
              <w:t xml:space="preserve"/>
            </w:r>
          </w:p>
          <w:p>
            <w:pPr>
              <w:spacing w:before="18" w:after="18"/>
            </w:pPr>
            <w:r>
              <w:rPr>
                <w:rFonts w:ascii="Courier New" w:cs="Courier New" w:eastAsia="Courier New" w:hAnsi="Courier New"/>
                <w:color w:val="CDD6F4"/>
                <w:sz w:val="17"/>
                <w:szCs w:val="17"/>
              </w:rPr>
              <w:t xml:space="preserve">// Repeat until response.done === true</w:t>
            </w:r>
          </w:p>
        </w:tc>
      </w:tr>
    </w:tbl>
    <w:p>
      <w:pPr>
        <w:spacing w:before="80" w:after="80"/>
      </w:pPr>
      <w:r>
        <w:t xml:space="preserve"/>
      </w:r>
    </w:p>
    <w:p>
      <w:pPr>
        <w:pBdr>
          <w:bottom w:val="single" w:color="D6E4F0" w:sz="4" w:space="1"/>
        </w:pBdr>
        <w:spacing w:before="160" w:after="160"/>
      </w:pPr>
      <w:r>
        <w:t xml:space="preserve"/>
      </w:r>
    </w:p>
    <w:p>
      <w:pPr>
        <w:pStyle w:val="Heading1"/>
        <w:spacing w:before="320" w:after="140"/>
      </w:pPr>
      <w:r>
        <w:rPr>
          <w:rFonts w:ascii="Arial" w:cs="Arial" w:eastAsia="Arial" w:hAnsi="Arial"/>
          <w:b/>
          <w:bCs/>
          <w:color w:val="1B3A5C"/>
          <w:sz w:val="30"/>
          <w:szCs w:val="30"/>
        </w:rPr>
        <w:t xml:space="preserve">2. The Three Reports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color="FFFFFF" w:sz="0"/>
              <w:left w:val="none" w:color="FFFFFF" w:sz="0"/>
              <w:bottom w:val="none" w:color="FFFFFF" w:sz="0"/>
              <w:right w:val="none" w:color="FFFFFF" w:sz="0"/>
            </w:tcBorders>
            <w:shd w:fill="1B3A5C" w:val="clear"/>
            <w:tcMar>
              <w:top w:type="dxa" w:w="100"/>
              <w:left w:type="dxa" w:w="180"/>
              <w:bottom w:type="dxa" w:w="100"/>
              <w:right w:type="dxa" w:w="180"/>
            </w:tcMar>
          </w:tcPr>
          <w:p>
            <w:r>
              <w:rPr>
                <w:rFonts w:ascii="Arial" w:cs="Arial" w:eastAsia="Arial" w:hAnsi="Arial"/>
                <w:b/>
                <w:bCs/>
                <w:color w:val="FFFFFF"/>
                <w:sz w:val="22"/>
                <w:szCs w:val="22"/>
              </w:rPr>
              <w:t xml:space="preserve">Report 1: </w:t>
            </w:r>
            <w:r>
              <w:rPr>
                <w:rFonts w:ascii="Arial" w:cs="Arial" w:eastAsia="Arial" w:hAnsi="Arial"/>
                <w:b/>
                <w:bCs/>
                <w:color w:val="FFFFFF"/>
                <w:sz w:val="22"/>
                <w:szCs w:val="22"/>
              </w:rPr>
              <w:t xml:space="preserve">Opportunities with Contact Roles</w:t>
            </w:r>
          </w:p>
        </w:tc>
        <w:tc>
          <w:tcPr>
            <w:tcW w:type="dxa" w:w="2000"/>
            <w:tcBorders>
              <w:top w:val="none" w:color="FFFFFF" w:sz="0"/>
              <w:left w:val="none" w:color="FFFFFF" w:sz="0"/>
              <w:bottom w:val="none" w:color="FFFFFF" w:sz="0"/>
              <w:right w:val="none" w:color="FFFFFF" w:sz="0"/>
            </w:tcBorders>
            <w:shd w:fill="D4EDDA" w:val="clear"/>
            <w:tcMar>
              <w:top w:type="dxa" w:w="100"/>
              <w:left w:type="dxa" w:w="120"/>
              <w:bottom w:type="dxa" w:w="100"/>
              <w:right w:type="dxa" w:w="120"/>
            </w:tcMar>
          </w:tcPr>
          <w:p>
            <w:pPr>
              <w:jc w:val="center"/>
            </w:pPr>
            <w:r>
              <w:rPr>
                <w:rFonts w:ascii="Arial" w:cs="Arial" w:eastAsia="Arial" w:hAnsi="Arial"/>
                <w:b/>
                <w:bCs/>
                <w:color w:val="1A7A3C"/>
                <w:sz w:val="17"/>
                <w:szCs w:val="17"/>
              </w:rPr>
              <w:t xml:space="preserve">✅  Available Now</w:t>
            </w:r>
          </w:p>
        </w:tc>
      </w:tr>
    </w:tbl>
    <w:p>
      <w:pPr>
        <w:spacing w:before="80" w:after="80"/>
      </w:pPr>
      <w:r>
        <w:t xml:space="preserve"/>
      </w:r>
    </w:p>
    <w:p>
      <w:pPr>
        <w:spacing w:before="60" w:after="60"/>
      </w:pPr>
      <w:r>
        <w:rPr>
          <w:rFonts w:ascii="Arial" w:cs="Arial" w:eastAsia="Arial" w:hAnsi="Arial"/>
          <w:sz w:val="20"/>
          <w:szCs w:val="20"/>
        </w:rPr>
        <w:t xml:space="preserve">This is the core revenue report. It gives us every deal — open and closed — plus the contact email addresses associated with each deal. The contact email is the join key that lets Staq connect tool activity (emails, calls, LinkedIn) back to revenue outcomes.</w:t>
      </w:r>
    </w:p>
    <w:p>
      <w:pPr>
        <w:spacing w:before="80" w:after="80"/>
      </w:pPr>
      <w:r>
        <w:t xml:space="preserve"/>
      </w:r>
    </w:p>
    <w:p>
      <w:pPr>
        <w:spacing w:before="60" w:after="60"/>
      </w:pPr>
      <w:r>
        <w:rPr>
          <w:rFonts w:ascii="Arial" w:cs="Arial" w:eastAsia="Arial" w:hAnsi="Arial"/>
          <w:sz w:val="20"/>
          <w:szCs w:val="20"/>
        </w:rPr>
        <w:t xml:space="preserve">Pull all opportunities from the last 12 months regardless of stage or outcome. Do not filter by Closed Won only — Staq needs open and lost deals too.</w:t>
      </w:r>
    </w:p>
    <w:p>
      <w:pPr>
        <w:spacing w:before="80" w:after="80"/>
      </w:pPr>
      <w:r>
        <w:t xml:space="preserve"/>
      </w:r>
    </w:p>
    <w:p>
      <w:pPr>
        <w:pStyle w:val="Heading2"/>
        <w:spacing w:before="220" w:after="100"/>
      </w:pPr>
      <w:r>
        <w:rPr>
          <w:rFonts w:ascii="Arial" w:cs="Arial" w:eastAsia="Arial" w:hAnsi="Arial"/>
          <w:b/>
          <w:bCs/>
          <w:color w:val="2E75B6"/>
          <w:sz w:val="23"/>
          <w:szCs w:val="23"/>
        </w:rPr>
        <w:t xml:space="preserve">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CDD6F4"/>
                <w:sz w:val="17"/>
                <w:szCs w:val="17"/>
              </w:rPr>
              <w:t xml:space="preserve">SELECT</w:t>
            </w:r>
          </w:p>
          <w:p>
            <w:pPr>
              <w:spacing w:before="18" w:after="18"/>
            </w:pPr>
            <w:r>
              <w:rPr>
                <w:rFonts w:ascii="Courier New" w:cs="Courier New" w:eastAsia="Courier New" w:hAnsi="Courier New"/>
                <w:color w:val="CDD6F4"/>
                <w:sz w:val="17"/>
                <w:szCs w:val="17"/>
              </w:rPr>
              <w:t xml:space="preserve">  Id,</w:t>
            </w:r>
          </w:p>
          <w:p>
            <w:pPr>
              <w:spacing w:before="18" w:after="18"/>
            </w:pPr>
            <w:r>
              <w:rPr>
                <w:rFonts w:ascii="Courier New" w:cs="Courier New" w:eastAsia="Courier New" w:hAnsi="Courier New"/>
                <w:color w:val="CDD6F4"/>
                <w:sz w:val="17"/>
                <w:szCs w:val="17"/>
              </w:rPr>
              <w:t xml:space="preserve">  Name,</w:t>
            </w:r>
          </w:p>
          <w:p>
            <w:pPr>
              <w:spacing w:before="18" w:after="18"/>
            </w:pPr>
            <w:r>
              <w:rPr>
                <w:rFonts w:ascii="Courier New" w:cs="Courier New" w:eastAsia="Courier New" w:hAnsi="Courier New"/>
                <w:color w:val="CDD6F4"/>
                <w:sz w:val="17"/>
                <w:szCs w:val="17"/>
              </w:rPr>
              <w:t xml:space="preserve">  OwnerId,</w:t>
            </w:r>
          </w:p>
          <w:p>
            <w:pPr>
              <w:spacing w:before="18" w:after="18"/>
            </w:pPr>
            <w:r>
              <w:rPr>
                <w:rFonts w:ascii="Courier New" w:cs="Courier New" w:eastAsia="Courier New" w:hAnsi="Courier New"/>
                <w:color w:val="CDD6F4"/>
                <w:sz w:val="17"/>
                <w:szCs w:val="17"/>
              </w:rPr>
              <w:t xml:space="preserve">  Owner.Name,</w:t>
            </w:r>
          </w:p>
          <w:p>
            <w:pPr>
              <w:spacing w:before="18" w:after="18"/>
            </w:pPr>
            <w:r>
              <w:rPr>
                <w:rFonts w:ascii="Courier New" w:cs="Courier New" w:eastAsia="Courier New" w:hAnsi="Courier New"/>
                <w:color w:val="CDD6F4"/>
                <w:sz w:val="17"/>
                <w:szCs w:val="17"/>
              </w:rPr>
              <w:t xml:space="preserve">  AccountId,</w:t>
            </w:r>
          </w:p>
          <w:p>
            <w:pPr>
              <w:spacing w:before="18" w:after="18"/>
            </w:pPr>
            <w:r>
              <w:rPr>
                <w:rFonts w:ascii="Courier New" w:cs="Courier New" w:eastAsia="Courier New" w:hAnsi="Courier New"/>
                <w:color w:val="CDD6F4"/>
                <w:sz w:val="17"/>
                <w:szCs w:val="17"/>
              </w:rPr>
              <w:t xml:space="preserve">  Account.Name,</w:t>
            </w:r>
          </w:p>
          <w:p>
            <w:pPr>
              <w:spacing w:before="18" w:after="18"/>
            </w:pPr>
            <w:r>
              <w:rPr>
                <w:rFonts w:ascii="Courier New" w:cs="Courier New" w:eastAsia="Courier New" w:hAnsi="Courier New"/>
                <w:color w:val="CDD6F4"/>
                <w:sz w:val="17"/>
                <w:szCs w:val="17"/>
              </w:rPr>
              <w:t xml:space="preserve">  CreatedDate,</w:t>
            </w:r>
          </w:p>
          <w:p>
            <w:pPr>
              <w:spacing w:before="18" w:after="18"/>
            </w:pPr>
            <w:r>
              <w:rPr>
                <w:rFonts w:ascii="Courier New" w:cs="Courier New" w:eastAsia="Courier New" w:hAnsi="Courier New"/>
                <w:color w:val="CDD6F4"/>
                <w:sz w:val="17"/>
                <w:szCs w:val="17"/>
              </w:rPr>
              <w:t xml:space="preserve">  CloseDate,</w:t>
            </w:r>
          </w:p>
          <w:p>
            <w:pPr>
              <w:spacing w:before="18" w:after="18"/>
            </w:pPr>
            <w:r>
              <w:rPr>
                <w:rFonts w:ascii="Courier New" w:cs="Courier New" w:eastAsia="Courier New" w:hAnsi="Courier New"/>
                <w:color w:val="CDD6F4"/>
                <w:sz w:val="17"/>
                <w:szCs w:val="17"/>
              </w:rPr>
              <w:t xml:space="preserve">  StageName,</w:t>
            </w:r>
          </w:p>
          <w:p>
            <w:pPr>
              <w:spacing w:before="18" w:after="18"/>
            </w:pPr>
            <w:r>
              <w:rPr>
                <w:rFonts w:ascii="Courier New" w:cs="Courier New" w:eastAsia="Courier New" w:hAnsi="Courier New"/>
                <w:color w:val="CDD6F4"/>
                <w:sz w:val="17"/>
                <w:szCs w:val="17"/>
              </w:rPr>
              <w:t xml:space="preserve">  IsClosed,</w:t>
            </w:r>
          </w:p>
          <w:p>
            <w:pPr>
              <w:spacing w:before="18" w:after="18"/>
            </w:pPr>
            <w:r>
              <w:rPr>
                <w:rFonts w:ascii="Courier New" w:cs="Courier New" w:eastAsia="Courier New" w:hAnsi="Courier New"/>
                <w:color w:val="CDD6F4"/>
                <w:sz w:val="17"/>
                <w:szCs w:val="17"/>
              </w:rPr>
              <w:t xml:space="preserve">  IsWon,</w:t>
            </w:r>
          </w:p>
          <w:p>
            <w:pPr>
              <w:spacing w:before="18" w:after="18"/>
            </w:pPr>
            <w:r>
              <w:rPr>
                <w:rFonts w:ascii="Courier New" w:cs="Courier New" w:eastAsia="Courier New" w:hAnsi="Courier New"/>
                <w:color w:val="CDD6F4"/>
                <w:sz w:val="17"/>
                <w:szCs w:val="17"/>
              </w:rPr>
              <w:t xml:space="preserve">  Amount,</w:t>
            </w:r>
          </w:p>
          <w:p>
            <w:pPr>
              <w:spacing w:before="18" w:after="18"/>
            </w:pPr>
            <w:r>
              <w:rPr>
                <w:rFonts w:ascii="Courier New" w:cs="Courier New" w:eastAsia="Courier New" w:hAnsi="Courier New"/>
                <w:color w:val="CDD6F4"/>
                <w:sz w:val="17"/>
                <w:szCs w:val="17"/>
              </w:rPr>
              <w:t xml:space="preserve">  Type,</w:t>
            </w:r>
          </w:p>
          <w:p>
            <w:pPr>
              <w:spacing w:before="18" w:after="18"/>
            </w:pPr>
            <w:r>
              <w:rPr>
                <w:rFonts w:ascii="Courier New" w:cs="Courier New" w:eastAsia="Courier New" w:hAnsi="Courier New"/>
                <w:color w:val="CDD6F4"/>
                <w:sz w:val="17"/>
                <w:szCs w:val="17"/>
              </w:rPr>
              <w:t xml:space="preserve">  LeadSource,</w:t>
            </w:r>
          </w:p>
          <w:p>
            <w:pPr>
              <w:spacing w:before="18" w:after="18"/>
            </w:pPr>
            <w:r>
              <w:rPr>
                <w:rFonts w:ascii="Courier New" w:cs="Courier New" w:eastAsia="Courier New" w:hAnsi="Courier New"/>
                <w:color w:val="CDD6F4"/>
                <w:sz w:val="17"/>
                <w:szCs w:val="17"/>
              </w:rPr>
              <w:t xml:space="preserve">  ForecastCategory,</w:t>
            </w:r>
          </w:p>
          <w:p>
            <w:pPr>
              <w:spacing w:before="18" w:after="18"/>
            </w:pPr>
            <w:r>
              <w:rPr>
                <w:rFonts w:ascii="Courier New" w:cs="Courier New" w:eastAsia="Courier New" w:hAnsi="Courier New"/>
                <w:color w:val="CDD6F4"/>
                <w:sz w:val="17"/>
                <w:szCs w:val="17"/>
              </w:rPr>
              <w:t xml:space="preserve">  (SELECT ContactId, Contact.Email, Contact.FirstName,</w:t>
            </w:r>
          </w:p>
          <w:p>
            <w:pPr>
              <w:spacing w:before="18" w:after="18"/>
            </w:pPr>
            <w:r>
              <w:rPr>
                <w:rFonts w:ascii="Courier New" w:cs="Courier New" w:eastAsia="Courier New" w:hAnsi="Courier New"/>
                <w:color w:val="CDD6F4"/>
                <w:sz w:val="17"/>
                <w:szCs w:val="17"/>
              </w:rPr>
              <w:t xml:space="preserve">          Contact.LastName, Role, IsPrimary</w:t>
            </w:r>
          </w:p>
          <w:p>
            <w:pPr>
              <w:spacing w:before="18" w:after="18"/>
            </w:pPr>
            <w:r>
              <w:rPr>
                <w:rFonts w:ascii="Courier New" w:cs="Courier New" w:eastAsia="Courier New" w:hAnsi="Courier New"/>
                <w:color w:val="CDD6F4"/>
                <w:sz w:val="17"/>
                <w:szCs w:val="17"/>
              </w:rPr>
              <w:t xml:space="preserve">   FROM OpportunityContactRoles)</w:t>
            </w:r>
          </w:p>
          <w:p>
            <w:pPr>
              <w:spacing w:before="18" w:after="18"/>
            </w:pPr>
            <w:r>
              <w:rPr>
                <w:rFonts w:ascii="Courier New" w:cs="Courier New" w:eastAsia="Courier New" w:hAnsi="Courier New"/>
                <w:color w:val="CDD6F4"/>
                <w:sz w:val="17"/>
                <w:szCs w:val="17"/>
              </w:rPr>
              <w:t xml:space="preserve">FROM Opportunity</w:t>
            </w:r>
          </w:p>
          <w:p>
            <w:pPr>
              <w:spacing w:before="18" w:after="18"/>
            </w:pPr>
            <w:r>
              <w:rPr>
                <w:rFonts w:ascii="Courier New" w:cs="Courier New" w:eastAsia="Courier New" w:hAnsi="Courier New"/>
                <w:color w:val="CDD6F4"/>
                <w:sz w:val="17"/>
                <w:szCs w:val="17"/>
              </w:rPr>
              <w:t xml:space="preserve">WHERE CreatedDate &gt;= LAST_N_MONTHS:12</w:t>
            </w:r>
          </w:p>
          <w:p>
            <w:pPr>
              <w:spacing w:before="18" w:after="18"/>
            </w:pPr>
            <w:r>
              <w:rPr>
                <w:rFonts w:ascii="Courier New" w:cs="Courier New" w:eastAsia="Courier New" w:hAnsi="Courier New"/>
                <w:color w:val="CDD6F4"/>
                <w:sz w:val="17"/>
                <w:szCs w:val="17"/>
              </w:rPr>
              <w:t xml:space="preserve">ORDER BY CreatedDate ASC</w:t>
            </w:r>
          </w:p>
        </w:tc>
      </w:tr>
    </w:tbl>
    <w:p>
      <w:pPr>
        <w:spacing w:before="80" w:after="80"/>
      </w:pPr>
      <w:r>
        <w:t xml:space="preserve"/>
      </w:r>
    </w:p>
    <w:p>
      <w:pPr>
        <w:pStyle w:val="Heading2"/>
        <w:spacing w:before="220" w:after="100"/>
      </w:pPr>
      <w:r>
        <w:rPr>
          <w:rFonts w:ascii="Arial" w:cs="Arial" w:eastAsia="Arial" w:hAnsi="Arial"/>
          <w:b/>
          <w:bCs/>
          <w:color w:val="2E75B6"/>
          <w:sz w:val="23"/>
          <w:szCs w:val="23"/>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Field Name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Object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Notes / Join Key</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Primary key</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Name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Deal name</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OwnerId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Rep ID — joins to User.Id</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Owner.Name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Rep display name</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AccountId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Account ID — joins to Account.Id</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Account.Name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Account</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Account display name</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CreatedDate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When the opportunity was created</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CloseDate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Expected or actual close date</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StageName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Current stage at time of export</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IsClosed</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True if Closed Won or Closed Lost</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IsWon</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True only if Closed Won</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Amount</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Deal value</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New Business, Renewal, Expansion</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LeadSource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Origin of the opportunity</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ForecastCategory</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Commit, Best Case, Pipeline, Omitted</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Contact.Email</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OpportunityContactRole → Contact</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 Primary join key — links all tool activity to this deal</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ContactId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OpportunityContactRole</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Contact ID</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Role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OpportunityContactRole</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Decision Maker, Champion, Economic Buyer, etc.</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IsPrimary</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OpportunityContactRole</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True for primary contact on the deal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6"/>
              <w:left w:val="single" w:color="FFC107" w:sz="12"/>
              <w:bottom w:val="single" w:color="FFC107" w:sz="6"/>
              <w:right w:val="single" w:color="FFC107" w:sz="6"/>
            </w:tcBorders>
            <w:shd w:fill="FFF3CD" w:val="clear"/>
            <w:tcMar>
              <w:top w:type="dxa" w:w="120"/>
              <w:left w:type="dxa" w:w="180"/>
              <w:bottom w:type="dxa" w:w="120"/>
              <w:right w:type="dxa" w:w="180"/>
            </w:tcMar>
          </w:tcPr>
          <w:p>
            <w:pPr>
              <w:spacing w:before="0" w:after="80"/>
            </w:pPr>
            <w:r>
              <w:rPr>
                <w:rFonts w:ascii="Arial" w:cs="Arial" w:eastAsia="Arial" w:hAnsi="Arial"/>
                <w:b/>
                <w:bCs/>
                <w:sz w:val="20"/>
                <w:szCs w:val="20"/>
              </w:rPr>
              <w:t xml:space="preserve">⚠️  Contact Email is the linchpin</w:t>
            </w:r>
          </w:p>
          <w:p>
            <w:pPr>
              <w:spacing w:before="36" w:after="36"/>
            </w:pPr>
            <w:r>
              <w:rPr>
                <w:rFonts w:ascii="Arial" w:cs="Arial" w:eastAsia="Arial" w:hAnsi="Arial"/>
                <w:sz w:val="19"/>
                <w:szCs w:val="19"/>
              </w:rPr>
              <w:t xml:space="preserve">If Contact.Email is null on an OpportunityContactRole record, that deal cannot be attributed to tool activity. Ask the admin: of all closed-won opportunities in the last 12 months, what percentage have at least one Contact Role with a populated email address? This tells us coverage before we start.</w:t>
            </w:r>
          </w:p>
        </w:tc>
      </w:tr>
    </w:tbl>
    <w:p>
      <w:pPr>
        <w:spacing w:before="80" w:after="80"/>
      </w:pPr>
      <w:r>
        <w:t xml:space="preserve"/>
      </w:r>
    </w:p>
    <w:p>
      <w:pPr>
        <w:pBdr>
          <w:bottom w:val="single" w:color="D6E4F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color="FFFFFF" w:sz="0"/>
              <w:left w:val="none" w:color="FFFFFF" w:sz="0"/>
              <w:bottom w:val="none" w:color="FFFFFF" w:sz="0"/>
              <w:right w:val="none" w:color="FFFFFF" w:sz="0"/>
            </w:tcBorders>
            <w:shd w:fill="1B3A5C" w:val="clear"/>
            <w:tcMar>
              <w:top w:type="dxa" w:w="100"/>
              <w:left w:type="dxa" w:w="180"/>
              <w:bottom w:type="dxa" w:w="100"/>
              <w:right w:type="dxa" w:w="180"/>
            </w:tcMar>
          </w:tcPr>
          <w:p>
            <w:r>
              <w:rPr>
                <w:rFonts w:ascii="Arial" w:cs="Arial" w:eastAsia="Arial" w:hAnsi="Arial"/>
                <w:b/>
                <w:bCs/>
                <w:color w:val="FFFFFF"/>
                <w:sz w:val="22"/>
                <w:szCs w:val="22"/>
              </w:rPr>
              <w:t xml:space="preserve">Report 2: </w:t>
            </w:r>
            <w:r>
              <w:rPr>
                <w:rFonts w:ascii="Arial" w:cs="Arial" w:eastAsia="Arial" w:hAnsi="Arial"/>
                <w:b/>
                <w:bCs/>
                <w:color w:val="FFFFFF"/>
                <w:sz w:val="22"/>
                <w:szCs w:val="22"/>
              </w:rPr>
              <w:t xml:space="preserve">Opportunity Stage History</w:t>
            </w:r>
          </w:p>
        </w:tc>
        <w:tc>
          <w:tcPr>
            <w:tcW w:type="dxa" w:w="2000"/>
            <w:tcBorders>
              <w:top w:val="none" w:color="FFFFFF" w:sz="0"/>
              <w:left w:val="none" w:color="FFFFFF" w:sz="0"/>
              <w:bottom w:val="none" w:color="FFFFFF" w:sz="0"/>
              <w:right w:val="none" w:color="FFFFFF" w:sz="0"/>
            </w:tcBorders>
            <w:shd w:fill="D4EDDA" w:val="clear"/>
            <w:tcMar>
              <w:top w:type="dxa" w:w="100"/>
              <w:left w:type="dxa" w:w="120"/>
              <w:bottom w:type="dxa" w:w="100"/>
              <w:right w:type="dxa" w:w="120"/>
            </w:tcMar>
          </w:tcPr>
          <w:p>
            <w:pPr>
              <w:jc w:val="center"/>
            </w:pPr>
            <w:r>
              <w:rPr>
                <w:rFonts w:ascii="Arial" w:cs="Arial" w:eastAsia="Arial" w:hAnsi="Arial"/>
                <w:b/>
                <w:bCs/>
                <w:color w:val="1A7A3C"/>
                <w:sz w:val="17"/>
                <w:szCs w:val="17"/>
              </w:rPr>
              <w:t xml:space="preserve">✅  Available Now</w:t>
            </w:r>
          </w:p>
        </w:tc>
      </w:tr>
    </w:tbl>
    <w:p>
      <w:pPr>
        <w:spacing w:before="80" w:after="80"/>
      </w:pPr>
      <w:r>
        <w:t xml:space="preserve"/>
      </w:r>
    </w:p>
    <w:p>
      <w:pPr>
        <w:spacing w:before="60" w:after="60"/>
      </w:pPr>
      <w:r>
        <w:rPr>
          <w:rFonts w:ascii="Arial" w:cs="Arial" w:eastAsia="Arial" w:hAnsi="Arial"/>
          <w:sz w:val="20"/>
          <w:szCs w:val="20"/>
        </w:rPr>
        <w:t xml:space="preserve">Stage history lives on a separate object in Salesforce — OpportunityFieldHistory. It cannot be combined with the Opportunity report above without multiplying rows. It must be its own query.</w:t>
      </w:r>
    </w:p>
    <w:p>
      <w:pPr>
        <w:spacing w:before="80" w:after="80"/>
      </w:pPr>
      <w:r>
        <w:t xml:space="preserve"/>
      </w:r>
    </w:p>
    <w:p>
      <w:pPr>
        <w:spacing w:before="60" w:after="60"/>
      </w:pPr>
      <w:r>
        <w:rPr>
          <w:rFonts w:ascii="Arial" w:cs="Arial" w:eastAsia="Arial" w:hAnsi="Arial"/>
          <w:sz w:val="20"/>
          <w:szCs w:val="20"/>
        </w:rPr>
        <w:t xml:space="preserve">This data tells Staq how long each deal spent in each stage, when it moved, and where deals stalled or died. It is how we calculate deal velocity.</w:t>
      </w:r>
    </w:p>
    <w:p>
      <w:pPr>
        <w:spacing w:before="80" w:after="80"/>
      </w:pPr>
      <w:r>
        <w:t xml:space="preserve"/>
      </w:r>
    </w:p>
    <w:p>
      <w:pPr>
        <w:pStyle w:val="Heading2"/>
        <w:spacing w:before="220" w:after="100"/>
      </w:pPr>
      <w:r>
        <w:rPr>
          <w:rFonts w:ascii="Arial" w:cs="Arial" w:eastAsia="Arial" w:hAnsi="Arial"/>
          <w:b/>
          <w:bCs/>
          <w:color w:val="2E75B6"/>
          <w:sz w:val="23"/>
          <w:szCs w:val="23"/>
        </w:rPr>
        <w:t xml:space="preserve">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CDD6F4"/>
                <w:sz w:val="17"/>
                <w:szCs w:val="17"/>
              </w:rPr>
              <w:t xml:space="preserve">SELECT</w:t>
            </w:r>
          </w:p>
          <w:p>
            <w:pPr>
              <w:spacing w:before="18" w:after="18"/>
            </w:pPr>
            <w:r>
              <w:rPr>
                <w:rFonts w:ascii="Courier New" w:cs="Courier New" w:eastAsia="Courier New" w:hAnsi="Courier New"/>
                <w:color w:val="CDD6F4"/>
                <w:sz w:val="17"/>
                <w:szCs w:val="17"/>
              </w:rPr>
              <w:t xml:space="preserve">  Id,</w:t>
            </w:r>
          </w:p>
          <w:p>
            <w:pPr>
              <w:spacing w:before="18" w:after="18"/>
            </w:pPr>
            <w:r>
              <w:rPr>
                <w:rFonts w:ascii="Courier New" w:cs="Courier New" w:eastAsia="Courier New" w:hAnsi="Courier New"/>
                <w:color w:val="CDD6F4"/>
                <w:sz w:val="17"/>
                <w:szCs w:val="17"/>
              </w:rPr>
              <w:t xml:space="preserve">  OpportunityId,</w:t>
            </w:r>
          </w:p>
          <w:p>
            <w:pPr>
              <w:spacing w:before="18" w:after="18"/>
            </w:pPr>
            <w:r>
              <w:rPr>
                <w:rFonts w:ascii="Courier New" w:cs="Courier New" w:eastAsia="Courier New" w:hAnsi="Courier New"/>
                <w:color w:val="CDD6F4"/>
                <w:sz w:val="17"/>
                <w:szCs w:val="17"/>
              </w:rPr>
              <w:t xml:space="preserve">  Opportunity.Name,</w:t>
            </w:r>
          </w:p>
          <w:p>
            <w:pPr>
              <w:spacing w:before="18" w:after="18"/>
            </w:pPr>
            <w:r>
              <w:rPr>
                <w:rFonts w:ascii="Courier New" w:cs="Courier New" w:eastAsia="Courier New" w:hAnsi="Courier New"/>
                <w:color w:val="CDD6F4"/>
                <w:sz w:val="17"/>
                <w:szCs w:val="17"/>
              </w:rPr>
              <w:t xml:space="preserve">  Opportunity.OwnerId,</w:t>
            </w:r>
          </w:p>
          <w:p>
            <w:pPr>
              <w:spacing w:before="18" w:after="18"/>
            </w:pPr>
            <w:r>
              <w:rPr>
                <w:rFonts w:ascii="Courier New" w:cs="Courier New" w:eastAsia="Courier New" w:hAnsi="Courier New"/>
                <w:color w:val="CDD6F4"/>
                <w:sz w:val="17"/>
                <w:szCs w:val="17"/>
              </w:rPr>
              <w:t xml:space="preserve">  Field,</w:t>
            </w:r>
          </w:p>
          <w:p>
            <w:pPr>
              <w:spacing w:before="18" w:after="18"/>
            </w:pPr>
            <w:r>
              <w:rPr>
                <w:rFonts w:ascii="Courier New" w:cs="Courier New" w:eastAsia="Courier New" w:hAnsi="Courier New"/>
                <w:color w:val="CDD6F4"/>
                <w:sz w:val="17"/>
                <w:szCs w:val="17"/>
              </w:rPr>
              <w:t xml:space="preserve">  OldValue,</w:t>
            </w:r>
          </w:p>
          <w:p>
            <w:pPr>
              <w:spacing w:before="18" w:after="18"/>
            </w:pPr>
            <w:r>
              <w:rPr>
                <w:rFonts w:ascii="Courier New" w:cs="Courier New" w:eastAsia="Courier New" w:hAnsi="Courier New"/>
                <w:color w:val="CDD6F4"/>
                <w:sz w:val="17"/>
                <w:szCs w:val="17"/>
              </w:rPr>
              <w:t xml:space="preserve">  NewValue,</w:t>
            </w:r>
          </w:p>
          <w:p>
            <w:pPr>
              <w:spacing w:before="18" w:after="18"/>
            </w:pPr>
            <w:r>
              <w:rPr>
                <w:rFonts w:ascii="Courier New" w:cs="Courier New" w:eastAsia="Courier New" w:hAnsi="Courier New"/>
                <w:color w:val="CDD6F4"/>
                <w:sz w:val="17"/>
                <w:szCs w:val="17"/>
              </w:rPr>
              <w:t xml:space="preserve">  CreatedDate</w:t>
            </w:r>
          </w:p>
          <w:p>
            <w:pPr>
              <w:spacing w:before="18" w:after="18"/>
            </w:pPr>
            <w:r>
              <w:rPr>
                <w:rFonts w:ascii="Courier New" w:cs="Courier New" w:eastAsia="Courier New" w:hAnsi="Courier New"/>
                <w:color w:val="CDD6F4"/>
                <w:sz w:val="17"/>
                <w:szCs w:val="17"/>
              </w:rPr>
              <w:t xml:space="preserve">FROM OpportunityFieldHistory</w:t>
            </w:r>
          </w:p>
          <w:p>
            <w:pPr>
              <w:spacing w:before="18" w:after="18"/>
            </w:pPr>
            <w:r>
              <w:rPr>
                <w:rFonts w:ascii="Courier New" w:cs="Courier New" w:eastAsia="Courier New" w:hAnsi="Courier New"/>
                <w:color w:val="CDD6F4"/>
                <w:sz w:val="17"/>
                <w:szCs w:val="17"/>
              </w:rPr>
              <w:t xml:space="preserve">WHERE Field = 'StageName'</w:t>
            </w:r>
          </w:p>
          <w:p>
            <w:pPr>
              <w:spacing w:before="18" w:after="18"/>
            </w:pPr>
            <w:r>
              <w:rPr>
                <w:rFonts w:ascii="Courier New" w:cs="Courier New" w:eastAsia="Courier New" w:hAnsi="Courier New"/>
                <w:color w:val="CDD6F4"/>
                <w:sz w:val="17"/>
                <w:szCs w:val="17"/>
              </w:rPr>
              <w:t xml:space="preserve">  AND CreatedDate &gt;= LAST_N_MONTHS:12</w:t>
            </w:r>
          </w:p>
          <w:p>
            <w:pPr>
              <w:spacing w:before="18" w:after="18"/>
            </w:pPr>
            <w:r>
              <w:rPr>
                <w:rFonts w:ascii="Courier New" w:cs="Courier New" w:eastAsia="Courier New" w:hAnsi="Courier New"/>
                <w:color w:val="CDD6F4"/>
                <w:sz w:val="17"/>
                <w:szCs w:val="17"/>
              </w:rPr>
              <w:t xml:space="preserve">ORDER BY OpportunityId ASC, CreatedDate ASC</w:t>
            </w:r>
          </w:p>
        </w:tc>
      </w:tr>
    </w:tbl>
    <w:p>
      <w:pPr>
        <w:spacing w:before="80" w:after="80"/>
      </w:pPr>
      <w:r>
        <w:t xml:space="preserve"/>
      </w:r>
    </w:p>
    <w:p>
      <w:pPr>
        <w:pStyle w:val="Heading2"/>
        <w:spacing w:before="220" w:after="100"/>
      </w:pPr>
      <w:r>
        <w:rPr>
          <w:rFonts w:ascii="Arial" w:cs="Arial" w:eastAsia="Arial" w:hAnsi="Arial"/>
          <w:b/>
          <w:bCs/>
          <w:color w:val="2E75B6"/>
          <w:sz w:val="23"/>
          <w:szCs w:val="23"/>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Field Name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Object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Notes / Join Key</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OpportunityFieldHistory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History record primary key</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OpportunityId</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OpportunityFieldHistory</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Joins to Opportunity.Id</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Opportunity.Name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Deal name</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Opportunity.OwnerId</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Rep ID at the time of the change</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Field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OpportunityFieldHistory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Always 'StageName' when filtered as above</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OldValue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OpportunityFieldHistory</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Stage before the change</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NewValue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OpportunityFieldHistory</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Stage after the change</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CreatedDate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OpportunityFieldHistory</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Timestamp of the stage change</w:t>
            </w:r>
          </w:p>
        </w:tc>
      </w:tr>
    </w:tbl>
    <w:p>
      <w:pPr>
        <w:spacing w:before="80" w:after="80"/>
      </w:pPr>
      <w:r>
        <w:t xml:space="preserve"/>
      </w:r>
    </w:p>
    <w:p>
      <w:pPr>
        <w:pBdr>
          <w:bottom w:val="single" w:color="D6E4F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color="FFFFFF" w:sz="0"/>
              <w:left w:val="none" w:color="FFFFFF" w:sz="0"/>
              <w:bottom w:val="none" w:color="FFFFFF" w:sz="0"/>
              <w:right w:val="none" w:color="FFFFFF" w:sz="0"/>
            </w:tcBorders>
            <w:shd w:fill="1B3A5C" w:val="clear"/>
            <w:tcMar>
              <w:top w:type="dxa" w:w="100"/>
              <w:left w:type="dxa" w:w="180"/>
              <w:bottom w:type="dxa" w:w="100"/>
              <w:right w:type="dxa" w:w="180"/>
            </w:tcMar>
          </w:tcPr>
          <w:p>
            <w:r>
              <w:rPr>
                <w:rFonts w:ascii="Arial" w:cs="Arial" w:eastAsia="Arial" w:hAnsi="Arial"/>
                <w:b/>
                <w:bCs/>
                <w:color w:val="FFFFFF"/>
                <w:sz w:val="22"/>
                <w:szCs w:val="22"/>
              </w:rPr>
              <w:t xml:space="preserve">Report 3: </w:t>
            </w:r>
            <w:r>
              <w:rPr>
                <w:rFonts w:ascii="Arial" w:cs="Arial" w:eastAsia="Arial" w:hAnsi="Arial"/>
                <w:b/>
                <w:bCs/>
                <w:color w:val="FFFFFF"/>
                <w:sz w:val="22"/>
                <w:szCs w:val="22"/>
              </w:rPr>
              <w:t xml:space="preserve">Activities — Tasks &amp; Events</w:t>
            </w:r>
          </w:p>
        </w:tc>
        <w:tc>
          <w:tcPr>
            <w:tcW w:type="dxa" w:w="200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pPr>
              <w:jc w:val="center"/>
            </w:pPr>
            <w:r>
              <w:rPr>
                <w:rFonts w:ascii="Arial" w:cs="Arial" w:eastAsia="Arial" w:hAnsi="Arial"/>
                <w:b/>
                <w:bCs/>
                <w:color w:val="B07800"/>
                <w:sz w:val="17"/>
                <w:szCs w:val="17"/>
              </w:rPr>
              <w:t xml:space="preserve">⚠️  Conditional</w:t>
            </w:r>
          </w:p>
        </w:tc>
      </w:tr>
    </w:tbl>
    <w:p>
      <w:pPr>
        <w:spacing w:before="80" w:after="80"/>
      </w:pPr>
      <w:r>
        <w:t xml:space="preserve"/>
      </w:r>
    </w:p>
    <w:p>
      <w:pPr>
        <w:spacing w:before="60" w:after="60"/>
      </w:pPr>
      <w:r>
        <w:rPr>
          <w:rFonts w:ascii="Arial" w:cs="Arial" w:eastAsia="Arial" w:hAnsi="Arial"/>
          <w:sz w:val="20"/>
          <w:szCs w:val="20"/>
        </w:rPr>
        <w:t xml:space="preserve">This report covers all rep activity: emails, calls, LinkedIn InMails, and meetings. Tasks and Events are separate objects in Salesforce but serve the same purpose here — they are the touchpoint record that connects rep activity to deals.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6"/>
              <w:left w:val="single" w:color="FFC107" w:sz="12"/>
              <w:bottom w:val="single" w:color="FFC107" w:sz="6"/>
              <w:right w:val="single" w:color="FFC107" w:sz="6"/>
            </w:tcBorders>
            <w:shd w:fill="FFF3CD" w:val="clear"/>
            <w:tcMar>
              <w:top w:type="dxa" w:w="120"/>
              <w:left w:type="dxa" w:w="180"/>
              <w:bottom w:type="dxa" w:w="120"/>
              <w:right w:type="dxa" w:w="180"/>
            </w:tcMar>
          </w:tcPr>
          <w:p>
            <w:pPr>
              <w:spacing w:before="0" w:after="80"/>
            </w:pPr>
            <w:r>
              <w:rPr>
                <w:rFonts w:ascii="Arial" w:cs="Arial" w:eastAsia="Arial" w:hAnsi="Arial"/>
                <w:b/>
                <w:bCs/>
                <w:sz w:val="20"/>
                <w:szCs w:val="20"/>
              </w:rPr>
              <w:t xml:space="preserve">⚠️  Conditional on Outreach Sync Being Active</w:t>
            </w:r>
          </w:p>
          <w:p>
            <w:pPr>
              <w:spacing w:before="36" w:after="36"/>
            </w:pPr>
            <w:r>
              <w:rPr>
                <w:rFonts w:ascii="Arial" w:cs="Arial" w:eastAsia="Arial" w:hAnsi="Arial"/>
                <w:sz w:val="19"/>
                <w:szCs w:val="19"/>
              </w:rPr>
              <w:t xml:space="preserve">This query only returns meaningful data if Outreach is configured to write activity back to Salesforce as Task records. If Outreach sync is not active, this query returns only natively-logged Salesforce tasks, which will be sparse.</w:t>
            </w:r>
          </w:p>
          <w:p>
            <w:pPr>
              <w:spacing w:before="36" w:after="36"/>
            </w:pPr>
            <w:r>
              <w:rPr>
                <w:rFonts w:ascii="Arial" w:cs="Arial" w:eastAsia="Arial" w:hAnsi="Arial"/>
                <w:sz w:val="19"/>
                <w:szCs w:val="19"/>
              </w:rPr>
              <w:t xml:space="preserve"/>
            </w:r>
          </w:p>
          <w:p>
            <w:pPr>
              <w:spacing w:before="36" w:after="36"/>
            </w:pPr>
            <w:r>
              <w:rPr>
                <w:rFonts w:ascii="Arial" w:cs="Arial" w:eastAsia="Arial" w:hAnsi="Arial"/>
                <w:sz w:val="19"/>
                <w:szCs w:val="19"/>
              </w:rPr>
              <w:t xml:space="preserve">Confirm with the customer admin before pulling: does Outreach write Task records to Salesforce when a rep sends an email or logs a call? Also confirm whether LinkedIn CRM Sync is on — if it is, LinkedIn InMail activity will appear in this same query.</w:t>
            </w:r>
          </w:p>
        </w:tc>
      </w:tr>
    </w:tbl>
    <w:p>
      <w:pPr>
        <w:spacing w:before="80" w:after="80"/>
      </w:pPr>
      <w:r>
        <w:t xml:space="preserve"/>
      </w:r>
    </w:p>
    <w:p>
      <w:pPr>
        <w:pStyle w:val="Heading2"/>
        <w:spacing w:before="220" w:after="100"/>
      </w:pPr>
      <w:r>
        <w:rPr>
          <w:rFonts w:ascii="Arial" w:cs="Arial" w:eastAsia="Arial" w:hAnsi="Arial"/>
          <w:b/>
          <w:bCs/>
          <w:color w:val="2E75B6"/>
          <w:sz w:val="23"/>
          <w:szCs w:val="23"/>
        </w:rPr>
        <w:t xml:space="preserve">Tasks Query</w:t>
      </w:r>
    </w:p>
    <w:p>
      <w:pPr>
        <w:spacing w:before="60" w:after="60"/>
      </w:pPr>
      <w:r>
        <w:rPr>
          <w:rFonts w:ascii="Arial" w:cs="Arial" w:eastAsia="Arial" w:hAnsi="Arial"/>
          <w:sz w:val="20"/>
          <w:szCs w:val="20"/>
        </w:rPr>
        <w:t xml:space="preserve">Pull two versions — one for completed activities only, and one with no filter. The unfiltered version shows how reps are actually logging activity, which matters for data quality assessment.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CDD6F4"/>
                <w:sz w:val="17"/>
                <w:szCs w:val="17"/>
              </w:rPr>
              <w:t xml:space="preserve">-- Completed activities only</w:t>
            </w:r>
          </w:p>
          <w:p>
            <w:pPr>
              <w:spacing w:before="18" w:after="18"/>
            </w:pPr>
            <w:r>
              <w:rPr>
                <w:rFonts w:ascii="Courier New" w:cs="Courier New" w:eastAsia="Courier New" w:hAnsi="Courier New"/>
                <w:color w:val="CDD6F4"/>
                <w:sz w:val="17"/>
                <w:szCs w:val="17"/>
              </w:rPr>
              <w:t xml:space="preserve">SELECT</w:t>
            </w:r>
          </w:p>
          <w:p>
            <w:pPr>
              <w:spacing w:before="18" w:after="18"/>
            </w:pPr>
            <w:r>
              <w:rPr>
                <w:rFonts w:ascii="Courier New" w:cs="Courier New" w:eastAsia="Courier New" w:hAnsi="Courier New"/>
                <w:color w:val="CDD6F4"/>
                <w:sz w:val="17"/>
                <w:szCs w:val="17"/>
              </w:rPr>
              <w:t xml:space="preserve">  Id,</w:t>
            </w:r>
          </w:p>
          <w:p>
            <w:pPr>
              <w:spacing w:before="18" w:after="18"/>
            </w:pPr>
            <w:r>
              <w:rPr>
                <w:rFonts w:ascii="Courier New" w:cs="Courier New" w:eastAsia="Courier New" w:hAnsi="Courier New"/>
                <w:color w:val="CDD6F4"/>
                <w:sz w:val="17"/>
                <w:szCs w:val="17"/>
              </w:rPr>
              <w:t xml:space="preserve">  Subject,</w:t>
            </w:r>
          </w:p>
          <w:p>
            <w:pPr>
              <w:spacing w:before="18" w:after="18"/>
            </w:pPr>
            <w:r>
              <w:rPr>
                <w:rFonts w:ascii="Courier New" w:cs="Courier New" w:eastAsia="Courier New" w:hAnsi="Courier New"/>
                <w:color w:val="CDD6F4"/>
                <w:sz w:val="17"/>
                <w:szCs w:val="17"/>
              </w:rPr>
              <w:t xml:space="preserve">  Type,</w:t>
            </w:r>
          </w:p>
          <w:p>
            <w:pPr>
              <w:spacing w:before="18" w:after="18"/>
            </w:pPr>
            <w:r>
              <w:rPr>
                <w:rFonts w:ascii="Courier New" w:cs="Courier New" w:eastAsia="Courier New" w:hAnsi="Courier New"/>
                <w:color w:val="CDD6F4"/>
                <w:sz w:val="17"/>
                <w:szCs w:val="17"/>
              </w:rPr>
              <w:t xml:space="preserve">  Status,</w:t>
            </w:r>
          </w:p>
          <w:p>
            <w:pPr>
              <w:spacing w:before="18" w:after="18"/>
            </w:pPr>
            <w:r>
              <w:rPr>
                <w:rFonts w:ascii="Courier New" w:cs="Courier New" w:eastAsia="Courier New" w:hAnsi="Courier New"/>
                <w:color w:val="CDD6F4"/>
                <w:sz w:val="17"/>
                <w:szCs w:val="17"/>
              </w:rPr>
              <w:t xml:space="preserve">  ActivityDate,</w:t>
            </w:r>
          </w:p>
          <w:p>
            <w:pPr>
              <w:spacing w:before="18" w:after="18"/>
            </w:pPr>
            <w:r>
              <w:rPr>
                <w:rFonts w:ascii="Courier New" w:cs="Courier New" w:eastAsia="Courier New" w:hAnsi="Courier New"/>
                <w:color w:val="CDD6F4"/>
                <w:sz w:val="17"/>
                <w:szCs w:val="17"/>
              </w:rPr>
              <w:t xml:space="preserve">  CreatedDate,</w:t>
            </w:r>
          </w:p>
          <w:p>
            <w:pPr>
              <w:spacing w:before="18" w:after="18"/>
            </w:pPr>
            <w:r>
              <w:rPr>
                <w:rFonts w:ascii="Courier New" w:cs="Courier New" w:eastAsia="Courier New" w:hAnsi="Courier New"/>
                <w:color w:val="CDD6F4"/>
                <w:sz w:val="17"/>
                <w:szCs w:val="17"/>
              </w:rPr>
              <w:t xml:space="preserve">  OwnerId,</w:t>
            </w:r>
          </w:p>
          <w:p>
            <w:pPr>
              <w:spacing w:before="18" w:after="18"/>
            </w:pPr>
            <w:r>
              <w:rPr>
                <w:rFonts w:ascii="Courier New" w:cs="Courier New" w:eastAsia="Courier New" w:hAnsi="Courier New"/>
                <w:color w:val="CDD6F4"/>
                <w:sz w:val="17"/>
                <w:szCs w:val="17"/>
              </w:rPr>
              <w:t xml:space="preserve">  Owner.Name,</w:t>
            </w:r>
          </w:p>
          <w:p>
            <w:pPr>
              <w:spacing w:before="18" w:after="18"/>
            </w:pPr>
            <w:r>
              <w:rPr>
                <w:rFonts w:ascii="Courier New" w:cs="Courier New" w:eastAsia="Courier New" w:hAnsi="Courier New"/>
                <w:color w:val="CDD6F4"/>
                <w:sz w:val="17"/>
                <w:szCs w:val="17"/>
              </w:rPr>
              <w:t xml:space="preserve">  WhoId,</w:t>
            </w:r>
          </w:p>
          <w:p>
            <w:pPr>
              <w:spacing w:before="18" w:after="18"/>
            </w:pPr>
            <w:r>
              <w:rPr>
                <w:rFonts w:ascii="Courier New" w:cs="Courier New" w:eastAsia="Courier New" w:hAnsi="Courier New"/>
                <w:color w:val="CDD6F4"/>
                <w:sz w:val="17"/>
                <w:szCs w:val="17"/>
              </w:rPr>
              <w:t xml:space="preserve">  WhatId,</w:t>
            </w:r>
          </w:p>
          <w:p>
            <w:pPr>
              <w:spacing w:before="18" w:after="18"/>
            </w:pPr>
            <w:r>
              <w:rPr>
                <w:rFonts w:ascii="Courier New" w:cs="Courier New" w:eastAsia="Courier New" w:hAnsi="Courier New"/>
                <w:color w:val="CDD6F4"/>
                <w:sz w:val="17"/>
                <w:szCs w:val="17"/>
              </w:rPr>
              <w:t xml:space="preserve">  AccountId,</w:t>
            </w:r>
          </w:p>
          <w:p>
            <w:pPr>
              <w:spacing w:before="18" w:after="18"/>
            </w:pPr>
            <w:r>
              <w:rPr>
                <w:rFonts w:ascii="Courier New" w:cs="Courier New" w:eastAsia="Courier New" w:hAnsi="Courier New"/>
                <w:color w:val="CDD6F4"/>
                <w:sz w:val="17"/>
                <w:szCs w:val="17"/>
              </w:rPr>
              <w:t xml:space="preserve">  Description</w:t>
            </w:r>
          </w:p>
          <w:p>
            <w:pPr>
              <w:spacing w:before="18" w:after="18"/>
            </w:pPr>
            <w:r>
              <w:rPr>
                <w:rFonts w:ascii="Courier New" w:cs="Courier New" w:eastAsia="Courier New" w:hAnsi="Courier New"/>
                <w:color w:val="CDD6F4"/>
                <w:sz w:val="17"/>
                <w:szCs w:val="17"/>
              </w:rPr>
              <w:t xml:space="preserve">FROM Task</w:t>
            </w:r>
          </w:p>
          <w:p>
            <w:pPr>
              <w:spacing w:before="18" w:after="18"/>
            </w:pPr>
            <w:r>
              <w:rPr>
                <w:rFonts w:ascii="Courier New" w:cs="Courier New" w:eastAsia="Courier New" w:hAnsi="Courier New"/>
                <w:color w:val="CDD6F4"/>
                <w:sz w:val="17"/>
                <w:szCs w:val="17"/>
              </w:rPr>
              <w:t xml:space="preserve">WHERE Status = 'Completed'</w:t>
            </w:r>
          </w:p>
          <w:p>
            <w:pPr>
              <w:spacing w:before="18" w:after="18"/>
            </w:pPr>
            <w:r>
              <w:rPr>
                <w:rFonts w:ascii="Courier New" w:cs="Courier New" w:eastAsia="Courier New" w:hAnsi="Courier New"/>
                <w:color w:val="CDD6F4"/>
                <w:sz w:val="17"/>
                <w:szCs w:val="17"/>
              </w:rPr>
              <w:t xml:space="preserve">  AND CreatedDate &gt;= LAST_N_MONTHS:12</w:t>
            </w:r>
          </w:p>
          <w:p>
            <w:pPr>
              <w:spacing w:before="18" w:after="18"/>
            </w:pPr>
            <w:r>
              <w:rPr>
                <w:rFonts w:ascii="Courier New" w:cs="Courier New" w:eastAsia="Courier New" w:hAnsi="Courier New"/>
                <w:color w:val="CDD6F4"/>
                <w:sz w:val="17"/>
                <w:szCs w:val="17"/>
              </w:rPr>
              <w:t xml:space="preserve">ORDER BY CreatedDate ASC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CDD6F4"/>
                <w:sz w:val="17"/>
                <w:szCs w:val="17"/>
              </w:rPr>
              <w:t xml:space="preserve">-- All activities, no status filter (second pull)</w:t>
            </w:r>
          </w:p>
          <w:p>
            <w:pPr>
              <w:spacing w:before="18" w:after="18"/>
            </w:pPr>
            <w:r>
              <w:rPr>
                <w:rFonts w:ascii="Courier New" w:cs="Courier New" w:eastAsia="Courier New" w:hAnsi="Courier New"/>
                <w:color w:val="CDD6F4"/>
                <w:sz w:val="17"/>
                <w:szCs w:val="17"/>
              </w:rPr>
              <w:t xml:space="preserve">SELECT</w:t>
            </w:r>
          </w:p>
          <w:p>
            <w:pPr>
              <w:spacing w:before="18" w:after="18"/>
            </w:pPr>
            <w:r>
              <w:rPr>
                <w:rFonts w:ascii="Courier New" w:cs="Courier New" w:eastAsia="Courier New" w:hAnsi="Courier New"/>
                <w:color w:val="CDD6F4"/>
                <w:sz w:val="17"/>
                <w:szCs w:val="17"/>
              </w:rPr>
              <w:t xml:space="preserve">  Id, Subject, Type, Status, ActivityDate,</w:t>
            </w:r>
          </w:p>
          <w:p>
            <w:pPr>
              <w:spacing w:before="18" w:after="18"/>
            </w:pPr>
            <w:r>
              <w:rPr>
                <w:rFonts w:ascii="Courier New" w:cs="Courier New" w:eastAsia="Courier New" w:hAnsi="Courier New"/>
                <w:color w:val="CDD6F4"/>
                <w:sz w:val="17"/>
                <w:szCs w:val="17"/>
              </w:rPr>
              <w:t xml:space="preserve">  CreatedDate, OwnerId, WhoId, WhatId, AccountId</w:t>
            </w:r>
          </w:p>
          <w:p>
            <w:pPr>
              <w:spacing w:before="18" w:after="18"/>
            </w:pPr>
            <w:r>
              <w:rPr>
                <w:rFonts w:ascii="Courier New" w:cs="Courier New" w:eastAsia="Courier New" w:hAnsi="Courier New"/>
                <w:color w:val="CDD6F4"/>
                <w:sz w:val="17"/>
                <w:szCs w:val="17"/>
              </w:rPr>
              <w:t xml:space="preserve">FROM Task</w:t>
            </w:r>
          </w:p>
          <w:p>
            <w:pPr>
              <w:spacing w:before="18" w:after="18"/>
            </w:pPr>
            <w:r>
              <w:rPr>
                <w:rFonts w:ascii="Courier New" w:cs="Courier New" w:eastAsia="Courier New" w:hAnsi="Courier New"/>
                <w:color w:val="CDD6F4"/>
                <w:sz w:val="17"/>
                <w:szCs w:val="17"/>
              </w:rPr>
              <w:t xml:space="preserve">WHERE CreatedDate &gt;= LAST_N_MONTHS:12</w:t>
            </w:r>
          </w:p>
          <w:p>
            <w:pPr>
              <w:spacing w:before="18" w:after="18"/>
            </w:pPr>
            <w:r>
              <w:rPr>
                <w:rFonts w:ascii="Courier New" w:cs="Courier New" w:eastAsia="Courier New" w:hAnsi="Courier New"/>
                <w:color w:val="CDD6F4"/>
                <w:sz w:val="17"/>
                <w:szCs w:val="17"/>
              </w:rPr>
              <w:t xml:space="preserve">ORDER BY CreatedDate ASC</w:t>
            </w:r>
          </w:p>
        </w:tc>
      </w:tr>
    </w:tbl>
    <w:p>
      <w:pPr>
        <w:spacing w:before="80" w:after="80"/>
      </w:pPr>
      <w:r>
        <w:t xml:space="preserve"/>
      </w:r>
    </w:p>
    <w:p>
      <w:pPr>
        <w:pStyle w:val="Heading2"/>
        <w:spacing w:before="220" w:after="100"/>
      </w:pPr>
      <w:r>
        <w:rPr>
          <w:rFonts w:ascii="Arial" w:cs="Arial" w:eastAsia="Arial" w:hAnsi="Arial"/>
          <w:b/>
          <w:bCs/>
          <w:color w:val="2E75B6"/>
          <w:sz w:val="23"/>
          <w:szCs w:val="23"/>
        </w:rPr>
        <w:t xml:space="preserve">Task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Field Name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Object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Notes / Join Key</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Primary key</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Subject</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Used to identify channel — email subjects, call labels, and LinkedIn InMail tasks (e.g. 'InMail sent') will appear here if syncing correctly</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Call, Email, Other — may be null if Outreach does not populate this field. Use Subject as fallback for channel detection.</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Status</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Completed, Not Started, In Progress, etc.</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ActivityDate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Date the activity occurred</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CreatedDate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When the Task record was written to Salesforce</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OwnerId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Rep ID — joins to User.Id</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WhoId</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Contact or Lead ID — joins to Contact.Email, which is the attribution join key</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WhatId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 or Account ID this activity is linked to</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AccountId</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Account — sometimes populated separately from WhatId</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Task</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Activity body — may contain Outreach sequence metadata</w:t>
            </w:r>
          </w:p>
        </w:tc>
      </w:tr>
    </w:tbl>
    <w:p>
      <w:pPr>
        <w:spacing w:before="80" w:after="80"/>
      </w:pPr>
      <w:r>
        <w:t xml:space="preserve"/>
      </w:r>
    </w:p>
    <w:p>
      <w:pPr>
        <w:pStyle w:val="Heading2"/>
        <w:spacing w:before="220" w:after="100"/>
      </w:pPr>
      <w:r>
        <w:rPr>
          <w:rFonts w:ascii="Arial" w:cs="Arial" w:eastAsia="Arial" w:hAnsi="Arial"/>
          <w:b/>
          <w:bCs/>
          <w:color w:val="2E75B6"/>
          <w:sz w:val="23"/>
          <w:szCs w:val="23"/>
        </w:rPr>
        <w:t xml:space="preserve">Events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CDD6F4"/>
                <w:sz w:val="17"/>
                <w:szCs w:val="17"/>
              </w:rPr>
              <w:t xml:space="preserve">SELECT</w:t>
            </w:r>
          </w:p>
          <w:p>
            <w:pPr>
              <w:spacing w:before="18" w:after="18"/>
            </w:pPr>
            <w:r>
              <w:rPr>
                <w:rFonts w:ascii="Courier New" w:cs="Courier New" w:eastAsia="Courier New" w:hAnsi="Courier New"/>
                <w:color w:val="CDD6F4"/>
                <w:sz w:val="17"/>
                <w:szCs w:val="17"/>
              </w:rPr>
              <w:t xml:space="preserve">  Id,</w:t>
            </w:r>
          </w:p>
          <w:p>
            <w:pPr>
              <w:spacing w:before="18" w:after="18"/>
            </w:pPr>
            <w:r>
              <w:rPr>
                <w:rFonts w:ascii="Courier New" w:cs="Courier New" w:eastAsia="Courier New" w:hAnsi="Courier New"/>
                <w:color w:val="CDD6F4"/>
                <w:sz w:val="17"/>
                <w:szCs w:val="17"/>
              </w:rPr>
              <w:t xml:space="preserve">  Subject,</w:t>
            </w:r>
          </w:p>
          <w:p>
            <w:pPr>
              <w:spacing w:before="18" w:after="18"/>
            </w:pPr>
            <w:r>
              <w:rPr>
                <w:rFonts w:ascii="Courier New" w:cs="Courier New" w:eastAsia="Courier New" w:hAnsi="Courier New"/>
                <w:color w:val="CDD6F4"/>
                <w:sz w:val="17"/>
                <w:szCs w:val="17"/>
              </w:rPr>
              <w:t xml:space="preserve">  StartDateTime,</w:t>
            </w:r>
          </w:p>
          <w:p>
            <w:pPr>
              <w:spacing w:before="18" w:after="18"/>
            </w:pPr>
            <w:r>
              <w:rPr>
                <w:rFonts w:ascii="Courier New" w:cs="Courier New" w:eastAsia="Courier New" w:hAnsi="Courier New"/>
                <w:color w:val="CDD6F4"/>
                <w:sz w:val="17"/>
                <w:szCs w:val="17"/>
              </w:rPr>
              <w:t xml:space="preserve">  EndDateTime,</w:t>
            </w:r>
          </w:p>
          <w:p>
            <w:pPr>
              <w:spacing w:before="18" w:after="18"/>
            </w:pPr>
            <w:r>
              <w:rPr>
                <w:rFonts w:ascii="Courier New" w:cs="Courier New" w:eastAsia="Courier New" w:hAnsi="Courier New"/>
                <w:color w:val="CDD6F4"/>
                <w:sz w:val="17"/>
                <w:szCs w:val="17"/>
              </w:rPr>
              <w:t xml:space="preserve">  DurationInMinutes,</w:t>
            </w:r>
          </w:p>
          <w:p>
            <w:pPr>
              <w:spacing w:before="18" w:after="18"/>
            </w:pPr>
            <w:r>
              <w:rPr>
                <w:rFonts w:ascii="Courier New" w:cs="Courier New" w:eastAsia="Courier New" w:hAnsi="Courier New"/>
                <w:color w:val="CDD6F4"/>
                <w:sz w:val="17"/>
                <w:szCs w:val="17"/>
              </w:rPr>
              <w:t xml:space="preserve">  Type,</w:t>
            </w:r>
          </w:p>
          <w:p>
            <w:pPr>
              <w:spacing w:before="18" w:after="18"/>
            </w:pPr>
            <w:r>
              <w:rPr>
                <w:rFonts w:ascii="Courier New" w:cs="Courier New" w:eastAsia="Courier New" w:hAnsi="Courier New"/>
                <w:color w:val="CDD6F4"/>
                <w:sz w:val="17"/>
                <w:szCs w:val="17"/>
              </w:rPr>
              <w:t xml:space="preserve">  OwnerId,</w:t>
            </w:r>
          </w:p>
          <w:p>
            <w:pPr>
              <w:spacing w:before="18" w:after="18"/>
            </w:pPr>
            <w:r>
              <w:rPr>
                <w:rFonts w:ascii="Courier New" w:cs="Courier New" w:eastAsia="Courier New" w:hAnsi="Courier New"/>
                <w:color w:val="CDD6F4"/>
                <w:sz w:val="17"/>
                <w:szCs w:val="17"/>
              </w:rPr>
              <w:t xml:space="preserve">  Owner.Name,</w:t>
            </w:r>
          </w:p>
          <w:p>
            <w:pPr>
              <w:spacing w:before="18" w:after="18"/>
            </w:pPr>
            <w:r>
              <w:rPr>
                <w:rFonts w:ascii="Courier New" w:cs="Courier New" w:eastAsia="Courier New" w:hAnsi="Courier New"/>
                <w:color w:val="CDD6F4"/>
                <w:sz w:val="17"/>
                <w:szCs w:val="17"/>
              </w:rPr>
              <w:t xml:space="preserve">  WhoId,</w:t>
            </w:r>
          </w:p>
          <w:p>
            <w:pPr>
              <w:spacing w:before="18" w:after="18"/>
            </w:pPr>
            <w:r>
              <w:rPr>
                <w:rFonts w:ascii="Courier New" w:cs="Courier New" w:eastAsia="Courier New" w:hAnsi="Courier New"/>
                <w:color w:val="CDD6F4"/>
                <w:sz w:val="17"/>
                <w:szCs w:val="17"/>
              </w:rPr>
              <w:t xml:space="preserve">  WhatId,</w:t>
            </w:r>
          </w:p>
          <w:p>
            <w:pPr>
              <w:spacing w:before="18" w:after="18"/>
            </w:pPr>
            <w:r>
              <w:rPr>
                <w:rFonts w:ascii="Courier New" w:cs="Courier New" w:eastAsia="Courier New" w:hAnsi="Courier New"/>
                <w:color w:val="CDD6F4"/>
                <w:sz w:val="17"/>
                <w:szCs w:val="17"/>
              </w:rPr>
              <w:t xml:space="preserve">  AccountId</w:t>
            </w:r>
          </w:p>
          <w:p>
            <w:pPr>
              <w:spacing w:before="18" w:after="18"/>
            </w:pPr>
            <w:r>
              <w:rPr>
                <w:rFonts w:ascii="Courier New" w:cs="Courier New" w:eastAsia="Courier New" w:hAnsi="Courier New"/>
                <w:color w:val="CDD6F4"/>
                <w:sz w:val="17"/>
                <w:szCs w:val="17"/>
              </w:rPr>
              <w:t xml:space="preserve">FROM Event</w:t>
            </w:r>
          </w:p>
          <w:p>
            <w:pPr>
              <w:spacing w:before="18" w:after="18"/>
            </w:pPr>
            <w:r>
              <w:rPr>
                <w:rFonts w:ascii="Courier New" w:cs="Courier New" w:eastAsia="Courier New" w:hAnsi="Courier New"/>
                <w:color w:val="CDD6F4"/>
                <w:sz w:val="17"/>
                <w:szCs w:val="17"/>
              </w:rPr>
              <w:t xml:space="preserve">WHERE CreatedDate &gt;= LAST_N_MONTHS:12</w:t>
            </w:r>
          </w:p>
          <w:p>
            <w:pPr>
              <w:spacing w:before="18" w:after="18"/>
            </w:pPr>
            <w:r>
              <w:rPr>
                <w:rFonts w:ascii="Courier New" w:cs="Courier New" w:eastAsia="Courier New" w:hAnsi="Courier New"/>
                <w:color w:val="CDD6F4"/>
                <w:sz w:val="17"/>
                <w:szCs w:val="17"/>
              </w:rPr>
              <w:t xml:space="preserve">ORDER BY StartDateTime ASC</w:t>
            </w:r>
          </w:p>
        </w:tc>
      </w:tr>
    </w:tbl>
    <w:p>
      <w:pPr>
        <w:spacing w:before="80" w:after="80"/>
      </w:pPr>
      <w:r>
        <w:t xml:space="preserve"/>
      </w:r>
    </w:p>
    <w:p>
      <w:pPr>
        <w:pStyle w:val="Heading2"/>
        <w:spacing w:before="220" w:after="100"/>
      </w:pPr>
      <w:r>
        <w:rPr>
          <w:rFonts w:ascii="Arial" w:cs="Arial" w:eastAsia="Arial" w:hAnsi="Arial"/>
          <w:b/>
          <w:bCs/>
          <w:color w:val="2E75B6"/>
          <w:sz w:val="23"/>
          <w:szCs w:val="23"/>
        </w:rPr>
        <w:t xml:space="preserve">Event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Field Name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Object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Notes / Join Key</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Event</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Primary key</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Subject</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Event</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Meeting subject</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StartDateTime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Event</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Meeting start time</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EndDateTime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Event</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Meeting end time</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DurationInMinutes</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Event</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Duration in minutes</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Type</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Event</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Meeting type if configured</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OwnerId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Event</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Rep ID — joins to User.Id</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WhoId</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Event</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Contact or Lead linked to the meeting — same attribution join as Task.WhoId</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Courier New" w:cs="Courier New" w:eastAsia="Courier New" w:hAnsi="Courier New"/>
                <w:sz w:val="17"/>
                <w:szCs w:val="17"/>
              </w:rPr>
              <w:t xml:space="preserve">WhatId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Event</w:t>
            </w:r>
          </w:p>
        </w:tc>
        <w:tc>
          <w:tcPr>
            <w:tcW w:type="dxa" w:w="4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r>
              <w:rPr>
                <w:rFonts w:ascii="Arial" w:cs="Arial" w:eastAsia="Arial" w:hAnsi="Arial"/>
                <w:sz w:val="18"/>
                <w:szCs w:val="18"/>
              </w:rPr>
              <w:t xml:space="preserve">Opportunity or Account linked</w:t>
            </w:r>
          </w:p>
        </w:tc>
      </w:tr>
      <w:tr>
        <w:tc>
          <w:tcPr>
            <w:tcW w:type="dxa" w:w="32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Courier New" w:cs="Courier New" w:eastAsia="Courier New" w:hAnsi="Courier New"/>
                <w:sz w:val="17"/>
                <w:szCs w:val="17"/>
              </w:rPr>
              <w:t xml:space="preserve">AccountId</w:t>
            </w:r>
          </w:p>
        </w:tc>
        <w:tc>
          <w:tcPr>
            <w:tcW w:type="dxa" w:w="160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Event</w:t>
            </w:r>
          </w:p>
        </w:tc>
        <w:tc>
          <w:tcPr>
            <w:tcW w:type="dxa" w:w="4560"/>
            <w:tcBorders>
              <w:top w:val="single" w:color="CCCCCC" w:sz="1"/>
              <w:left w:val="single" w:color="CCCCCC" w:sz="1"/>
              <w:bottom w:val="single" w:color="CCCCCC" w:sz="1"/>
              <w:right w:val="single" w:color="CCCCCC" w:sz="1"/>
            </w:tcBorders>
            <w:shd w:fill="F5F5F5" w:val="clear"/>
            <w:tcMar>
              <w:top w:type="dxa" w:w="72"/>
              <w:left w:type="dxa" w:w="110"/>
              <w:bottom w:type="dxa" w:w="72"/>
              <w:right w:type="dxa" w:w="110"/>
            </w:tcMar>
          </w:tcPr>
          <w:p>
            <w:r>
              <w:rPr>
                <w:rFonts w:ascii="Arial" w:cs="Arial" w:eastAsia="Arial" w:hAnsi="Arial"/>
                <w:sz w:val="18"/>
                <w:szCs w:val="18"/>
              </w:rPr>
              <w:t xml:space="preserve">Account</w:t>
            </w:r>
          </w:p>
        </w:tc>
      </w:tr>
    </w:tbl>
    <w:p>
      <w:pPr>
        <w:spacing w:before="80" w:after="80"/>
      </w:pPr>
      <w:r>
        <w:t xml:space="preserve"/>
      </w:r>
    </w:p>
    <w:p>
      <w:pPr>
        <w:pBdr>
          <w:bottom w:val="single" w:color="D6E4F0" w:sz="4" w:space="1"/>
        </w:pBdr>
        <w:spacing w:before="160" w:after="160"/>
      </w:pPr>
      <w:r>
        <w:t xml:space="preserve"/>
      </w:r>
    </w:p>
    <w:p>
      <w:pPr>
        <w:pStyle w:val="Heading1"/>
        <w:spacing w:before="320" w:after="140"/>
      </w:pPr>
      <w:r>
        <w:rPr>
          <w:rFonts w:ascii="Arial" w:cs="Arial" w:eastAsia="Arial" w:hAnsi="Arial"/>
          <w:b/>
          <w:bCs/>
          <w:color w:val="1B3A5C"/>
          <w:sz w:val="30"/>
          <w:szCs w:val="30"/>
        </w:rPr>
        <w:t xml:space="preserve">3. How the Reports Connect</w:t>
      </w:r>
    </w:p>
    <w:p>
      <w:pPr>
        <w:spacing w:before="60" w:after="60"/>
      </w:pPr>
      <w:r>
        <w:rPr>
          <w:rFonts w:ascii="Arial" w:cs="Arial" w:eastAsia="Arial" w:hAnsi="Arial"/>
          <w:sz w:val="20"/>
          <w:szCs w:val="20"/>
        </w:rPr>
        <w:t xml:space="preserve">The three reports join to each other through two keys. Everything flows through Contact.Email as the universal bridge between tool activity and revenue.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1E1E2E" w:val="clear"/>
            <w:tcMar>
              <w:top w:type="dxa" w:w="140"/>
              <w:left w:type="dxa" w:w="200"/>
              <w:bottom w:type="dxa" w:w="140"/>
              <w:right w:type="dxa" w:w="200"/>
            </w:tcMar>
          </w:tcPr>
          <w:p>
            <w:pPr>
              <w:spacing w:before="18" w:after="18"/>
            </w:pPr>
            <w:r>
              <w:rPr>
                <w:rFonts w:ascii="Courier New" w:cs="Courier New" w:eastAsia="Courier New" w:hAnsi="Courier New"/>
                <w:color w:val="CDD6F4"/>
                <w:sz w:val="17"/>
                <w:szCs w:val="17"/>
              </w:rPr>
              <w:t xml:space="preserve">Task.WhoId</w:t>
            </w:r>
          </w:p>
          <w:p>
            <w:pPr>
              <w:spacing w:before="18" w:after="18"/>
            </w:pPr>
            <w:r>
              <w:rPr>
                <w:rFonts w:ascii="Courier New" w:cs="Courier New" w:eastAsia="Courier New" w:hAnsi="Courier New"/>
                <w:color w:val="CDD6F4"/>
                <w:sz w:val="17"/>
                <w:szCs w:val="17"/>
              </w:rPr>
              <w:t xml:space="preserve">  → Contact.Id</w:t>
            </w:r>
          </w:p>
          <w:p>
            <w:pPr>
              <w:spacing w:before="18" w:after="18"/>
            </w:pPr>
            <w:r>
              <w:rPr>
                <w:rFonts w:ascii="Courier New" w:cs="Courier New" w:eastAsia="Courier New" w:hAnsi="Courier New"/>
                <w:color w:val="CDD6F4"/>
                <w:sz w:val="17"/>
                <w:szCs w:val="17"/>
              </w:rPr>
              <w:t xml:space="preserve">      → Contact.Email</w:t>
            </w:r>
          </w:p>
          <w:p>
            <w:pPr>
              <w:spacing w:before="18" w:after="18"/>
            </w:pPr>
            <w:r>
              <w:rPr>
                <w:rFonts w:ascii="Courier New" w:cs="Courier New" w:eastAsia="Courier New" w:hAnsi="Courier New"/>
                <w:color w:val="CDD6F4"/>
                <w:sz w:val="17"/>
                <w:szCs w:val="17"/>
              </w:rPr>
              <w:t xml:space="preserve">          → OpportunityContactRole.Contact.Email</w:t>
            </w:r>
          </w:p>
          <w:p>
            <w:pPr>
              <w:spacing w:before="18" w:after="18"/>
            </w:pPr>
            <w:r>
              <w:rPr>
                <w:rFonts w:ascii="Courier New" w:cs="Courier New" w:eastAsia="Courier New" w:hAnsi="Courier New"/>
                <w:color w:val="CDD6F4"/>
                <w:sz w:val="17"/>
                <w:szCs w:val="17"/>
              </w:rPr>
              <w:t xml:space="preserve">              → OpportunityContactRole.OpportunityId</w:t>
            </w:r>
          </w:p>
          <w:p>
            <w:pPr>
              <w:spacing w:before="18" w:after="18"/>
            </w:pPr>
            <w:r>
              <w:rPr>
                <w:rFonts w:ascii="Courier New" w:cs="Courier New" w:eastAsia="Courier New" w:hAnsi="Courier New"/>
                <w:color w:val="CDD6F4"/>
                <w:sz w:val="17"/>
                <w:szCs w:val="17"/>
              </w:rPr>
              <w:t xml:space="preserve">                  → Opportunity.Id</w:t>
            </w:r>
          </w:p>
          <w:p>
            <w:pPr>
              <w:spacing w:before="18" w:after="18"/>
            </w:pPr>
            <w:r>
              <w:rPr>
                <w:rFonts w:ascii="Courier New" w:cs="Courier New" w:eastAsia="Courier New" w:hAnsi="Courier New"/>
                <w:color w:val="CDD6F4"/>
                <w:sz w:val="17"/>
                <w:szCs w:val="17"/>
              </w:rPr>
              <w:t xml:space="preserve"/>
            </w:r>
          </w:p>
          <w:p>
            <w:pPr>
              <w:spacing w:before="18" w:after="18"/>
            </w:pPr>
            <w:r>
              <w:rPr>
                <w:rFonts w:ascii="Courier New" w:cs="Courier New" w:eastAsia="Courier New" w:hAnsi="Courier New"/>
                <w:color w:val="CDD6F4"/>
                <w:sz w:val="17"/>
                <w:szCs w:val="17"/>
              </w:rPr>
              <w:t xml:space="preserve">Stage History joins directly:</w:t>
            </w:r>
          </w:p>
          <w:p>
            <w:pPr>
              <w:spacing w:before="18" w:after="18"/>
            </w:pPr>
            <w:r>
              <w:rPr>
                <w:rFonts w:ascii="Courier New" w:cs="Courier New" w:eastAsia="Courier New" w:hAnsi="Courier New"/>
                <w:color w:val="CDD6F4"/>
                <w:sz w:val="17"/>
                <w:szCs w:val="17"/>
              </w:rPr>
              <w:t xml:space="preserve">OpportunityFieldHistory.OpportunityId → Opportunity.Id</w:t>
            </w:r>
          </w:p>
        </w:tc>
      </w:tr>
    </w:tbl>
    <w:p>
      <w:pPr>
        <w:spacing w:before="80" w:after="80"/>
      </w:pPr>
      <w:r>
        <w:t xml:space="preserve"/>
      </w:r>
    </w:p>
    <w:p>
      <w:pPr>
        <w:spacing w:before="60" w:after="60"/>
      </w:pPr>
      <w:r>
        <w:rPr>
          <w:rFonts w:ascii="Arial" w:cs="Arial" w:eastAsia="Arial" w:hAnsi="Arial"/>
          <w:sz w:val="20"/>
          <w:szCs w:val="20"/>
        </w:rPr>
        <w:t xml:space="preserve">In plain terms: a rep sends an email in Outreach → that creates a Task in Salesforce with a WhoId pointing to a Contact → that Contact's email address matches an OpportunityContactRole → which links back to the Opportunity and its closed revenue. That is the attribution chain Staq is built on.</w:t>
      </w:r>
    </w:p>
    <w:p>
      <w:pPr>
        <w:spacing w:before="80" w:after="80"/>
      </w:pPr>
      <w:r>
        <w:t xml:space="preserve"/>
      </w:r>
    </w:p>
    <w:p>
      <w:pPr>
        <w:pBdr>
          <w:bottom w:val="single" w:color="D6E4F0" w:sz="4" w:space="1"/>
        </w:pBdr>
        <w:spacing w:before="160" w:after="160"/>
      </w:pPr>
      <w:r>
        <w:t xml:space="preserve"/>
      </w:r>
    </w:p>
    <w:p>
      <w:pPr>
        <w:pStyle w:val="Heading1"/>
        <w:spacing w:before="320" w:after="140"/>
      </w:pPr>
      <w:r>
        <w:rPr>
          <w:rFonts w:ascii="Arial" w:cs="Arial" w:eastAsia="Arial" w:hAnsi="Arial"/>
          <w:b/>
          <w:bCs/>
          <w:color w:val="1B3A5C"/>
          <w:sz w:val="30"/>
          <w:szCs w:val="30"/>
        </w:rPr>
        <w:t xml:space="preserve">4. Open Questions Before Pulling Report 3</w:t>
      </w:r>
    </w:p>
    <w:p>
      <w:pPr>
        <w:spacing w:before="60" w:after="60"/>
      </w:pPr>
      <w:r>
        <w:rPr>
          <w:rFonts w:ascii="Arial" w:cs="Arial" w:eastAsia="Arial" w:hAnsi="Arial"/>
          <w:sz w:val="20"/>
          <w:szCs w:val="20"/>
        </w:rPr>
        <w:t xml:space="preserve">The admin needs to confirm two things before Task data is pulled. These answers determine whether the activity data is meaningful or empty.</w:t>
      </w:r>
    </w:p>
    <w:p>
      <w:pPr>
        <w:spacing w:before="80" w:after="80"/>
      </w:pPr>
      <w:r>
        <w:t xml:space="preserve"/>
      </w:r>
    </w:p>
    <w:p>
      <w:pPr>
        <w:pStyle w:val="ListParagraph"/>
        <w:numPr>
          <w:ilvl w:val="0"/>
          <w:numId w:val="2"/>
        </w:numPr>
        <w:spacing w:before="36" w:after="36"/>
      </w:pPr>
      <w:r>
        <w:rPr>
          <w:rFonts w:ascii="Arial" w:cs="Arial" w:eastAsia="Arial" w:hAnsi="Arial"/>
          <w:sz w:val="20"/>
          <w:szCs w:val="20"/>
        </w:rPr>
        <w:t xml:space="preserve">Is Outreach configured to sync activity back to Salesforce? Ask the admin to confirm that sending an email in Outreach creates a Task record in Salesforce on the Contact or Opportunity record.</w:t>
      </w:r>
    </w:p>
    <w:p>
      <w:pPr>
        <w:pStyle w:val="ListParagraph"/>
        <w:numPr>
          <w:ilvl w:val="0"/>
          <w:numId w:val="2"/>
        </w:numPr>
        <w:spacing w:before="36" w:after="36"/>
      </w:pPr>
      <w:r>
        <w:rPr>
          <w:rFonts w:ascii="Arial" w:cs="Arial" w:eastAsia="Arial" w:hAnsi="Arial"/>
          <w:sz w:val="20"/>
          <w:szCs w:val="20"/>
        </w:rPr>
        <w:t xml:space="preserve">Is LinkedIn Sales Navigator CRM Sync enabled? If yes, LinkedIn InMail and connection request activity will appear in the Task query. Ask the admin to confirm what the Subject field looks like for those records.</w:t>
      </w:r>
    </w:p>
    <w:p>
      <w:pPr>
        <w:pStyle w:val="ListParagraph"/>
        <w:numPr>
          <w:ilvl w:val="0"/>
          <w:numId w:val="2"/>
        </w:numPr>
        <w:spacing w:before="36" w:after="36"/>
      </w:pPr>
      <w:r>
        <w:rPr>
          <w:rFonts w:ascii="Arial" w:cs="Arial" w:eastAsia="Arial" w:hAnsi="Arial"/>
          <w:sz w:val="20"/>
          <w:szCs w:val="20"/>
        </w:rPr>
        <w:t xml:space="preserve">Does Outreach write Tasks to the Contact record, the Opportunity record, or both? This affects how WhoId and WhatId are populated and determines which join path is reliable.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spacing w:before="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Pr>
        <w:p>
          <w:r>
            <w:rPr>
              <w:rFonts w:ascii="Arial" w:cs="Arial" w:eastAsia="Arial" w:hAnsi="Arial"/>
              <w:color w:val="888888"/>
              <w:sz w:val="16"/>
              <w:szCs w:val="16"/>
            </w:rPr>
            <w:t xml:space="preserve">Internal — Staq Engineering</w:t>
          </w:r>
        </w:p>
      </w:tc>
      <w:tc>
        <w:tcPr>
          <w:tcW w:type="dxa" w:w="292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0"/>
      <w:gridCol w:w="4120"/>
    </w:tblGrid>
    <w:tr>
      <w:tc>
        <w:tcPr>
          <w:tcW w:type="dxa" w:w="5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3A5C"/>
              <w:sz w:val="28"/>
              <w:szCs w:val="28"/>
            </w:rPr>
            <w:t xml:space="preserve">STAQ</w:t>
          </w:r>
        </w:p>
      </w:tc>
      <w:tc>
        <w:tcPr>
          <w:tcW w:type="dxa" w:w="41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16"/>
              <w:szCs w:val="16"/>
            </w:rPr>
            <w:t xml:space="preserve">Revenue Data Spec — Engineering Internal</w:t>
          </w:r>
        </w:p>
      </w:tc>
    </w:tr>
  </w:tbl>
  <w:p>
    <w:pPr>
      <w:pBdr>
        <w:bottom w:val="single" w:color="1B3A5C" w:sz="6" w:space="1"/>
      </w:pBdr>
      <w:spacing w:before="6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B3A5C"/>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2026-03-17T21:19:38.741Z</dcterms:created>
  <dcterms:modified xsi:type="dcterms:W3CDTF">2026-03-17T21:19:38.741Z</dcterms:modified>
</cp:coreProperties>
</file>

<file path=docProps/custom.xml><?xml version="1.0" encoding="utf-8"?>
<Properties xmlns="http://schemas.openxmlformats.org/officeDocument/2006/custom-properties" xmlns:vt="http://schemas.openxmlformats.org/officeDocument/2006/docPropsVTypes"/>
</file>