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D207F4" w:rsidRDefault="00000000">
      <w:pPr>
        <w:pStyle w:val="Titolo1"/>
        <w:rPr>
          <w:lang w:val="it-IT"/>
        </w:rPr>
      </w:pPr>
      <w:r w:rsidRPr="00D207F4">
        <w:rPr>
          <w:lang w:val="it-IT"/>
        </w:rPr>
        <w:t>8.  Conclusioni e sviluppi futuri</w:t>
      </w:r>
    </w:p>
    <w:p w14:paraId="18AF3F4C" w14:textId="77777777" w:rsidR="005C5428" w:rsidRDefault="00000000">
      <w:pPr>
        <w:jc w:val="both"/>
        <w:rPr>
          <w:lang w:val="it-IT"/>
        </w:rPr>
      </w:pPr>
      <w:r w:rsidRPr="00D207F4">
        <w:rPr>
          <w:lang w:val="it-IT"/>
        </w:rPr>
        <w:t xml:space="preserve">Questo capitolo raccoglie le conclusioni del lavoro. </w:t>
      </w:r>
    </w:p>
    <w:p w14:paraId="03C60467" w14:textId="4A924CF3" w:rsidR="00D207F4" w:rsidRPr="00D207F4" w:rsidRDefault="00000000">
      <w:pPr>
        <w:jc w:val="both"/>
        <w:rPr>
          <w:lang w:val="it-IT"/>
        </w:rPr>
      </w:pPr>
      <w:r w:rsidRPr="00D207F4">
        <w:rPr>
          <w:lang w:val="it-IT"/>
        </w:rPr>
        <w:t>La Sezione 8.1 risponde alla domanda di partenza con cinque affermazioni sostenute da misure e ne ricava la raccomandazione per il progetto, e la Sezione 8.</w:t>
      </w:r>
      <w:r w:rsidR="005C5428">
        <w:rPr>
          <w:lang w:val="it-IT"/>
        </w:rPr>
        <w:t>2</w:t>
      </w:r>
      <w:r w:rsidRPr="00D207F4">
        <w:rPr>
          <w:lang w:val="it-IT"/>
        </w:rPr>
        <w:t xml:space="preserve"> indica gli sviluppi futuri.</w:t>
      </w:r>
    </w:p>
    <w:p w14:paraId="59CE6DCB" w14:textId="77777777" w:rsidR="00A94598" w:rsidRPr="00D207F4" w:rsidRDefault="00000000">
      <w:pPr>
        <w:pStyle w:val="Titolo2"/>
        <w:rPr>
          <w:lang w:val="it-IT"/>
        </w:rPr>
      </w:pPr>
      <w:r w:rsidRPr="00D207F4">
        <w:rPr>
          <w:lang w:val="it-IT"/>
        </w:rPr>
        <w:t>8.1  Risposta alla domanda di partenza</w:t>
      </w:r>
    </w:p>
    <w:p w14:paraId="3F3FDC0D" w14:textId="77777777" w:rsidR="00A94598" w:rsidRPr="00D207F4" w:rsidRDefault="00000000">
      <w:pPr>
        <w:jc w:val="both"/>
        <w:rPr>
          <w:lang w:val="it-IT"/>
        </w:rPr>
      </w:pPr>
      <w:r w:rsidRPr="00D207F4">
        <w:rPr>
          <w:lang w:val="it-IT"/>
        </w:rPr>
        <w:t xml:space="preserve">La domanda con cui si apre questa tesi era se il radar </w:t>
      </w:r>
      <w:proofErr w:type="spellStart"/>
      <w:r w:rsidRPr="00D207F4">
        <w:rPr>
          <w:lang w:val="it-IT"/>
        </w:rPr>
        <w:t>mmWave</w:t>
      </w:r>
      <w:proofErr w:type="spellEnd"/>
      <w:r w:rsidRPr="00D207F4">
        <w:rPr>
          <w:lang w:val="it-IT"/>
        </w:rPr>
        <w:t xml:space="preserve"> possa sostituire o affiancare il sensore PIR nel nodo del progetto DIPME. La risposta, sulla base di 444 trial validi e 32,1 ore di acquisizione su tre sensori, è affiancare, non sostituire. Si articola in cinque punti.</w:t>
      </w:r>
    </w:p>
    <w:p w14:paraId="0FE9ADA0" w14:textId="006E759B" w:rsidR="00A94598" w:rsidRPr="00D207F4" w:rsidRDefault="00000000">
      <w:pPr>
        <w:jc w:val="both"/>
        <w:rPr>
          <w:lang w:val="it-IT"/>
        </w:rPr>
      </w:pPr>
      <w:r w:rsidRPr="00D207F4">
        <w:rPr>
          <w:b/>
          <w:lang w:val="it-IT"/>
        </w:rPr>
        <w:t xml:space="preserve">1. Sul caso d'uso del progetto il PIR non funziona, per costruzione. </w:t>
      </w:r>
      <w:r w:rsidR="00D207F4">
        <w:rPr>
          <w:lang w:val="it-IT"/>
        </w:rPr>
        <w:t>Con un soggetto immobile il PIR ha mancato la presenza nel 98,5–99,8 % dei campioni in tutte e tre le geometrie provate, sotto il banco compreso, mentre il radar l'ha rilevata nel 100 % (Sezioni 5.2 e 5.4). Due prove che cambiano una sola variabile mostrano che a decidere se il PIR vede è il movimento, non la distanza (Sezioni 5.3 e 5.3.2). Il PIR non è un cattivo sensore, perché rileva bene chi attraversa il suo campo anche a 5 m. Una persona intrappolata però può restare immobile, ed è il caso in cui il PIR è cieco.</w:t>
      </w:r>
    </w:p>
    <w:p w14:paraId="12B690DE" w14:textId="77777777" w:rsidR="00A94598" w:rsidRPr="00D207F4" w:rsidRDefault="00000000">
      <w:pPr>
        <w:jc w:val="both"/>
        <w:rPr>
          <w:lang w:val="it-IT"/>
        </w:rPr>
      </w:pPr>
      <w:r w:rsidRPr="00D207F4">
        <w:rPr>
          <w:b/>
          <w:lang w:val="it-IT"/>
        </w:rPr>
        <w:t xml:space="preserve">2. Il radar fornisce grandezze che un bit non può rappresentare. </w:t>
      </w:r>
      <w:r w:rsidRPr="00D207F4">
        <w:rPr>
          <w:lang w:val="it-IT"/>
        </w:rPr>
        <w:t>Oltre alla presenza, l'HLK-LD2410B riporta una distanza molto lineare, correggibile con un solo coefficiente (Sezione 5.5), e un'energia per gate da cui si stima il ritmo respiratorio di una persona immobile, verificato contro un ritmo imposto (Sezione 6.7.2). Le stesse grandezze sono la base dell'indice di vitalità (Capitolo 6). Il vantaggio non si paga in affidabilità, perché in 7 ore di stanza vuota l'HLK-LD2410B a soglie di fabbrica non ha prodotto alcun falso positivo (Sezione 5.1).</w:t>
      </w:r>
    </w:p>
    <w:p w14:paraId="00E061E7" w14:textId="77777777" w:rsidR="00A94598" w:rsidRPr="00D207F4" w:rsidRDefault="00000000">
      <w:pPr>
        <w:jc w:val="both"/>
        <w:rPr>
          <w:lang w:val="it-IT"/>
        </w:rPr>
      </w:pPr>
      <w:r w:rsidRPr="00D207F4">
        <w:rPr>
          <w:b/>
          <w:lang w:val="it-IT"/>
        </w:rPr>
        <w:t xml:space="preserve">3. Il radar attraversa gli ostacoli e arriva al tetto configurato, il PIR è bloccato da tutto. </w:t>
      </w:r>
      <w:r w:rsidRPr="00D207F4">
        <w:rPr>
          <w:lang w:val="it-IT"/>
        </w:rPr>
        <w:t>Cartongesso, legno, vetro, plastica e una porta interna chiusa non accorciano la portata dell'HLK-LD2410B entro i 5 m della stanza, e il solo materiale che blocca il radar è il metallo. Il PIR è invece azzerato da ciascuno dei pannelli interposti (Sezione 5.9). In corridoio il radar arriva al tetto di 6 m fissato dagli otto gate, mentre il PIR può arrivare più lontano, ma solo su chi attraversa il suo campo (Sezione 5.10).</w:t>
      </w:r>
    </w:p>
    <w:p w14:paraId="3B1898CF" w14:textId="77777777" w:rsidR="00A94598" w:rsidRPr="00D207F4" w:rsidRDefault="00000000">
      <w:pPr>
        <w:jc w:val="both"/>
        <w:rPr>
          <w:lang w:val="it-IT"/>
        </w:rPr>
      </w:pPr>
      <w:r w:rsidRPr="00D207F4">
        <w:rPr>
          <w:b/>
          <w:lang w:val="it-IT"/>
        </w:rPr>
        <w:t xml:space="preserve">4. Fra i due radar, per questo scenario, l'HLK-LD2410B. </w:t>
      </w:r>
      <w:r w:rsidRPr="00D207F4">
        <w:rPr>
          <w:lang w:val="it-IT"/>
        </w:rPr>
        <w:t>L'HLK-LD2420 rileva la persona immobile a 1 m e sotto il banco, quindi nello scenario del progetto funziona. Dice però se c'è qualcuno, ma non dove, e non gradua il movimento. Richiede inoltre una taratura per installazione, e anche dopo produce falsi positivi che l'HLK-LD2410B non produce (Sezione 5.1). Questi risultati sono attribuiti all'esemplare, che ha una portata di circa 2 m contro gli 8 dichiarati.</w:t>
      </w:r>
    </w:p>
    <w:p w14:paraId="39AB1864" w14:textId="77777777" w:rsidR="00A94598" w:rsidRPr="00D207F4" w:rsidRDefault="00000000">
      <w:pPr>
        <w:jc w:val="both"/>
        <w:rPr>
          <w:lang w:val="it-IT"/>
        </w:rPr>
      </w:pPr>
      <w:r w:rsidRPr="00D207F4">
        <w:rPr>
          <w:b/>
          <w:lang w:val="it-IT"/>
        </w:rPr>
        <w:lastRenderedPageBreak/>
        <w:t xml:space="preserve">5. Il consumo esclude la sostituzione secca e indica l'architettura. </w:t>
      </w:r>
      <w:r w:rsidRPr="00D207F4">
        <w:rPr>
          <w:lang w:val="it-IT"/>
        </w:rPr>
        <w:t>Il radar consuma circa mille volte più del PIR, e con il radar sempre acceso l'autonomia si misura in ore (Capitolo 7). La soluzione non è scegliere fra i due sensori ma usarli in sequenza.</w:t>
      </w:r>
    </w:p>
    <w:p w14:paraId="5347D6DA" w14:textId="77777777" w:rsidR="00A94598" w:rsidRPr="00D207F4" w:rsidRDefault="00000000">
      <w:pPr>
        <w:pStyle w:val="Puntoelenco"/>
        <w:rPr>
          <w:lang w:val="it-IT"/>
        </w:rPr>
      </w:pPr>
      <w:r w:rsidRPr="00D207F4">
        <w:rPr>
          <w:b/>
          <w:lang w:val="it-IT"/>
        </w:rPr>
        <w:t>Tempo di pace.</w:t>
      </w:r>
      <w:r w:rsidRPr="00D207F4">
        <w:rPr>
          <w:lang w:val="it-IT"/>
        </w:rPr>
        <w:t xml:space="preserve"> Il nodo resta in deep-</w:t>
      </w:r>
      <w:proofErr w:type="spellStart"/>
      <w:r w:rsidRPr="00D207F4">
        <w:rPr>
          <w:lang w:val="it-IT"/>
        </w:rPr>
        <w:t>sleep</w:t>
      </w:r>
      <w:proofErr w:type="spellEnd"/>
      <w:r w:rsidRPr="00D207F4">
        <w:rPr>
          <w:lang w:val="it-IT"/>
        </w:rPr>
        <w:t xml:space="preserve"> e si risveglia allo scadere del polling oppure quando il PIR rileva una presenza, come già fa il nodo del progetto [callisto2026dipme]. Il consumo è dell'ordine dei microampere e l'autonomia è pluriennale.</w:t>
      </w:r>
    </w:p>
    <w:p w14:paraId="73D37570" w14:textId="77777777" w:rsidR="00A94598" w:rsidRPr="00D207F4" w:rsidRDefault="00000000">
      <w:pPr>
        <w:pStyle w:val="Puntoelenco"/>
        <w:rPr>
          <w:lang w:val="it-IT"/>
        </w:rPr>
      </w:pPr>
      <w:r w:rsidRPr="00D207F4">
        <w:rPr>
          <w:b/>
          <w:lang w:val="it-IT"/>
        </w:rPr>
        <w:t>Emergenza.</w:t>
      </w:r>
      <w:r w:rsidRPr="00D207F4">
        <w:rPr>
          <w:lang w:val="it-IT"/>
        </w:rPr>
        <w:t xml:space="preserve"> Al passaggio in emergenza (Sezione 1.1) si accende il radar, che rileva anche la persona ferma sotto il banco e calcola l'indice di vitalità, con circa 20 ore di autonomia.</w:t>
      </w:r>
    </w:p>
    <w:p w14:paraId="124D43F9" w14:textId="77777777" w:rsidR="00A94598" w:rsidRPr="00D207F4" w:rsidRDefault="00000000">
      <w:pPr>
        <w:pStyle w:val="Puntoelenco"/>
        <w:rPr>
          <w:lang w:val="it-IT"/>
        </w:rPr>
      </w:pPr>
      <w:r w:rsidRPr="00D207F4">
        <w:rPr>
          <w:b/>
          <w:lang w:val="it-IT"/>
        </w:rPr>
        <w:t>Autonomia estesa.</w:t>
      </w:r>
      <w:r w:rsidRPr="00D207F4">
        <w:rPr>
          <w:lang w:val="it-IT"/>
        </w:rPr>
        <w:t xml:space="preserve"> Con il radar acceso un minuto ogni cinque l'autonomia supera i tre giorni, con una latenza di rilevamento fino a quattro minuti. È accettabile, perché la domanda è se c'è qualcuno sotto il banco e non in quale istante si è mosso. Resta da verificare che il radar, appena riacceso, rilevi subito una persona immobile già presente (Sezione 4.4).</w:t>
      </w:r>
    </w:p>
    <w:p w14:paraId="39356BB8" w14:textId="77777777" w:rsidR="00A94598" w:rsidRPr="00D207F4" w:rsidRDefault="00000000">
      <w:pPr>
        <w:jc w:val="both"/>
        <w:rPr>
          <w:lang w:val="it-IT"/>
        </w:rPr>
      </w:pPr>
      <w:r w:rsidRPr="00D207F4">
        <w:rPr>
          <w:lang w:val="it-IT"/>
        </w:rPr>
        <w:t>Il PIR quindi non va sostituito. Non è un concorrente del radar ma il guardiano a basso costo che decide quando accenderlo. È anche la direzione indicata dagli autori del progetto DIPME (Sezione 1.1.1).</w:t>
      </w:r>
    </w:p>
    <w:p w14:paraId="51723787" w14:textId="77777777" w:rsidR="00A94598" w:rsidRPr="00D207F4" w:rsidRDefault="00000000">
      <w:pPr>
        <w:jc w:val="both"/>
        <w:rPr>
          <w:lang w:val="it-IT"/>
        </w:rPr>
      </w:pPr>
      <w:r w:rsidRPr="00D207F4">
        <w:rPr>
          <w:lang w:val="it-IT"/>
        </w:rPr>
        <w:t xml:space="preserve">La raccomandazione per il progetto è di aggiungere al nodo un modulo </w:t>
      </w:r>
      <w:proofErr w:type="spellStart"/>
      <w:r w:rsidRPr="00D207F4">
        <w:rPr>
          <w:lang w:val="it-IT"/>
        </w:rPr>
        <w:t>mmWave</w:t>
      </w:r>
      <w:proofErr w:type="spellEnd"/>
      <w:r w:rsidRPr="00D207F4">
        <w:rPr>
          <w:lang w:val="it-IT"/>
        </w:rPr>
        <w:t xml:space="preserve"> della classe dell'HLK-LD2410B secondo questa architettura, prevedendo all'installazione una taratura del fondo e dell'indice di vitalità sotto l'arredo in cui il sensore viene montato.</w:t>
      </w:r>
    </w:p>
    <w:p w14:paraId="31A5D5B4" w14:textId="77777777" w:rsidR="00A94598" w:rsidRPr="00D207F4" w:rsidRDefault="00000000">
      <w:pPr>
        <w:pStyle w:val="Titolo2"/>
        <w:rPr>
          <w:lang w:val="it-IT"/>
        </w:rPr>
      </w:pPr>
      <w:r w:rsidRPr="00D207F4">
        <w:rPr>
          <w:lang w:val="it-IT"/>
        </w:rPr>
        <w:t>8.2  Sviluppi futuri</w:t>
      </w:r>
    </w:p>
    <w:p w14:paraId="0CB5A3A1" w14:textId="77777777" w:rsidR="00A94598" w:rsidRPr="00D207F4" w:rsidRDefault="00000000">
      <w:pPr>
        <w:jc w:val="both"/>
        <w:rPr>
          <w:lang w:val="it-IT"/>
        </w:rPr>
      </w:pPr>
      <w:r w:rsidRPr="00D207F4">
        <w:rPr>
          <w:b/>
          <w:lang w:val="it-IT"/>
        </w:rPr>
        <w:t xml:space="preserve">Integrazione con il nodo e la rete </w:t>
      </w:r>
      <w:proofErr w:type="spellStart"/>
      <w:r w:rsidRPr="00D207F4">
        <w:rPr>
          <w:b/>
          <w:lang w:val="it-IT"/>
        </w:rPr>
        <w:t>LoRa</w:t>
      </w:r>
      <w:proofErr w:type="spellEnd"/>
      <w:r w:rsidRPr="00D207F4">
        <w:rPr>
          <w:b/>
          <w:lang w:val="it-IT"/>
        </w:rPr>
        <w:t xml:space="preserve">. </w:t>
      </w:r>
      <w:r w:rsidRPr="00D207F4">
        <w:rPr>
          <w:lang w:val="it-IT"/>
        </w:rPr>
        <w:t xml:space="preserve">Nel regime di emergenza della piattaforma il bit di presenza decide la cadenza di trasmissione del nodo, un messaggio al minuto con presenza e uno ogni quindici minuti senza [callisto2026dipme]. Un falso negativo sulla persona immobile è quindi un banco ascoltato quindici volte meno spesso, e sostituire quel bit con la presenza del radar è l'innesto più immediato. I messaggi di emergenza servono a localizzare le persone e a pianificare i soccorsi [callisto2026dipme], e l'indice di vitalità e la distanza li renderebbero più informativi del solo bit. L'indice occupa un byte, quindi rientra nei messaggi </w:t>
      </w:r>
      <w:proofErr w:type="spellStart"/>
      <w:r w:rsidRPr="00D207F4">
        <w:rPr>
          <w:lang w:val="it-IT"/>
        </w:rPr>
        <w:t>LoRa</w:t>
      </w:r>
      <w:proofErr w:type="spellEnd"/>
      <w:r w:rsidRPr="00D207F4">
        <w:rPr>
          <w:lang w:val="it-IT"/>
        </w:rPr>
        <w:t>, dove il vincolo è la dimensione. Il proseguimento naturale è l'integrazione con il Digital Twin del progetto [callisto2024safe, callisto2023dt], di cui la dashboard servita dal nodo (Sezione 4.5) è un primo esempio funzionante.</w:t>
      </w:r>
    </w:p>
    <w:p w14:paraId="36548D1B" w14:textId="77777777" w:rsidR="00A94598" w:rsidRPr="00D207F4" w:rsidRDefault="00000000">
      <w:pPr>
        <w:jc w:val="both"/>
        <w:rPr>
          <w:lang w:val="it-IT"/>
        </w:rPr>
      </w:pPr>
      <w:r w:rsidRPr="00D207F4">
        <w:rPr>
          <w:b/>
          <w:lang w:val="it-IT"/>
        </w:rPr>
        <w:t xml:space="preserve">Verso il dimostratore reale. </w:t>
      </w:r>
      <w:r w:rsidRPr="00D207F4">
        <w:rPr>
          <w:lang w:val="it-IT"/>
        </w:rPr>
        <w:t>Il passo successivo è la ripetizione degli scenari chiave nelle aule del dimostratore del progetto (Sezione 1.1), dove dimensioni, materiali, riflessioni e presenza di più persone sono realistici. Le domande aperte sono due. La prima riguarda il tasso di falsi positivi in un'aula con arredi metallici. La seconda è il comportamento con più persone presenti, che è il limite strutturale di entrambi i radar (Sezione 5.8).</w:t>
      </w:r>
    </w:p>
    <w:p w14:paraId="64B61E32" w14:textId="77777777" w:rsidR="00A94598" w:rsidRPr="00D207F4" w:rsidRDefault="00000000">
      <w:pPr>
        <w:jc w:val="both"/>
        <w:rPr>
          <w:lang w:val="it-IT"/>
        </w:rPr>
      </w:pPr>
      <w:r w:rsidRPr="00D207F4">
        <w:rPr>
          <w:b/>
          <w:lang w:val="it-IT"/>
        </w:rPr>
        <w:t xml:space="preserve">Montaggio sulla lamiera forata. </w:t>
      </w:r>
      <w:r w:rsidRPr="00D207F4">
        <w:rPr>
          <w:lang w:val="it-IT"/>
        </w:rPr>
        <w:t>È la questione di progetto più concreta. Il piano del banco è rinforzato con lamiera forata, quindi la posizione del sensore rispetto al metallo va scelta. Le configurazioni da valutare sono tre. La prima, con il sensore sotto il piano rivolto al volume di rifugio, è la geometria provata in questa tesi e l'ipotesi preferibile. La seconda, con il sensore sopra il piano, richiede di verificare se il passo dei fori consente la trasmissione a 24 GHz, perché fori molto più piccoli della lunghezza d'onda, 12,5 mm a 24 GHz, lasciano passare poco segnale. La terza prevede il sensore nel telaio laterale. Il resto dell'arredo non è un vincolo, perché legno e cartongesso non accorciano la portata entro i 5 m (Sezione 5.9).</w:t>
      </w:r>
    </w:p>
    <w:p w14:paraId="39B158C1" w14:textId="77777777" w:rsidR="00A94598" w:rsidRPr="00D207F4" w:rsidRDefault="00000000">
      <w:pPr>
        <w:jc w:val="both"/>
        <w:rPr>
          <w:lang w:val="it-IT"/>
        </w:rPr>
      </w:pPr>
      <w:r w:rsidRPr="00D207F4">
        <w:rPr>
          <w:b/>
          <w:lang w:val="it-IT"/>
        </w:rPr>
        <w:t xml:space="preserve">Selettività fra banchi adiacenti. </w:t>
      </w:r>
      <w:r w:rsidRPr="00D207F4">
        <w:rPr>
          <w:lang w:val="it-IT"/>
        </w:rPr>
        <w:t>La misura angolare ha mostrato che ridurre il gate massimo non isola il proprio banco, perché il gate limita la distanza e non l'angolo e l'HLK-LD2410B rileva un vicino in movimento a 90° (Sezione 5.7). La separazione va cercata nel montaggio, con orientamento verso il basso e schermatura del lobo laterale. La misura da fare è il tasso di attribuzione corretta con due volumi di rifugio adiacenti.</w:t>
      </w:r>
    </w:p>
    <w:p w14:paraId="63A6AFDD" w14:textId="77777777" w:rsidR="00A94598" w:rsidRPr="00D207F4" w:rsidRDefault="00000000">
      <w:pPr>
        <w:jc w:val="both"/>
        <w:rPr>
          <w:lang w:val="it-IT"/>
        </w:rPr>
      </w:pPr>
      <w:r w:rsidRPr="00D207F4">
        <w:rPr>
          <w:b/>
          <w:lang w:val="it-IT"/>
        </w:rPr>
        <w:lastRenderedPageBreak/>
        <w:t xml:space="preserve">Auto-taratura all'installazione. </w:t>
      </w:r>
      <w:r w:rsidRPr="00D207F4">
        <w:rPr>
          <w:lang w:val="it-IT"/>
        </w:rPr>
        <w:t>È la risposta al limite principale dell'indice di vitalità, cioè le soglie specifiche della geometria (Sezione 6.4). Poiché ogni sensore è fisso sotto il proprio arredo, una procedura che registri il fondo a stanza vuota e un riferimento di movimento in quella posizione, e ne ricavi le soglie a bordo, adatterebbe l'indice a ogni installazione. La stessa procedura servirebbe all'HLK-LD2420, che senza taratura per installazione non è utilizzabile.</w:t>
      </w:r>
    </w:p>
    <w:p w14:paraId="2F531202" w14:textId="77777777" w:rsidR="00A94598" w:rsidRPr="00D207F4" w:rsidRDefault="00000000">
      <w:pPr>
        <w:jc w:val="both"/>
        <w:rPr>
          <w:lang w:val="it-IT"/>
        </w:rPr>
      </w:pPr>
      <w:r w:rsidRPr="00D207F4">
        <w:rPr>
          <w:b/>
          <w:lang w:val="it-IT"/>
        </w:rPr>
        <w:t xml:space="preserve">Confronto diretto con l'UWB. </w:t>
      </w:r>
      <w:r w:rsidRPr="00D207F4">
        <w:rPr>
          <w:lang w:val="it-IT"/>
        </w:rPr>
        <w:t>La scheda del nodo prevede un sensore UWB [</w:t>
      </w:r>
      <w:proofErr w:type="spellStart"/>
      <w:r w:rsidRPr="00D207F4">
        <w:rPr>
          <w:lang w:val="it-IT"/>
        </w:rPr>
        <w:t>slideDipme</w:t>
      </w:r>
      <w:proofErr w:type="spellEnd"/>
      <w:r w:rsidRPr="00D207F4">
        <w:rPr>
          <w:lang w:val="it-IT"/>
        </w:rPr>
        <w:t xml:space="preserve">], mentre nella configurazione dispiegata la presenza è affidata al solo PIR [callisto2026dipme]. Un confronto a tre (PIR, </w:t>
      </w:r>
      <w:proofErr w:type="spellStart"/>
      <w:r w:rsidRPr="00D207F4">
        <w:rPr>
          <w:lang w:val="it-IT"/>
        </w:rPr>
        <w:t>mmWave</w:t>
      </w:r>
      <w:proofErr w:type="spellEnd"/>
      <w:r w:rsidRPr="00D207F4">
        <w:rPr>
          <w:lang w:val="it-IT"/>
        </w:rPr>
        <w:t xml:space="preserve"> e UWB) condotto con la stessa metodologia trasformerebbe l'argomentazione di Sezione 2.3, oggi basata su datasheet e letteratura, in un risultato misurato. La piattaforma e il formato dati sono pronti ad accoglierlo.</w:t>
      </w:r>
    </w:p>
    <w:sectPr w:rsidR="00A94598" w:rsidRPr="00D207F4" w:rsidSect="00034616">
      <w:footerReference w:type="default" r:id="rId8"/>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B1A3C" w14:textId="77777777" w:rsidR="00415814" w:rsidRDefault="00415814">
      <w:pPr>
        <w:spacing w:after="0" w:line="240" w:lineRule="auto"/>
      </w:pPr>
      <w:r>
        <w:separator/>
      </w:r>
    </w:p>
  </w:endnote>
  <w:endnote w:type="continuationSeparator" w:id="0">
    <w:p w14:paraId="47A5D25F" w14:textId="77777777" w:rsidR="00415814" w:rsidRDefault="00415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3474C" w14:textId="77777777" w:rsidR="00415814" w:rsidRDefault="00415814">
      <w:pPr>
        <w:spacing w:after="0" w:line="240" w:lineRule="auto"/>
      </w:pPr>
      <w:r>
        <w:separator/>
      </w:r>
    </w:p>
  </w:footnote>
  <w:footnote w:type="continuationSeparator" w:id="0">
    <w:p w14:paraId="2E2A6358" w14:textId="77777777" w:rsidR="00415814" w:rsidRDefault="004158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42121"/>
    <w:rsid w:val="000478CA"/>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4555A"/>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A158C"/>
    <w:rsid w:val="003B1AA4"/>
    <w:rsid w:val="003C311A"/>
    <w:rsid w:val="003C354F"/>
    <w:rsid w:val="003D6535"/>
    <w:rsid w:val="003D75E2"/>
    <w:rsid w:val="00415814"/>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C5428"/>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3BF7"/>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02A8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07F4"/>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3</Pages>
  <Words>1150</Words>
  <Characters>6558</Characters>
  <Application>Microsoft Office Word</Application>
  <DocSecurity>0</DocSecurity>
  <Lines>54</Lines>
  <Paragraphs>15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62</cp:revision>
  <dcterms:created xsi:type="dcterms:W3CDTF">2013-12-23T23:15:00Z</dcterms:created>
  <dcterms:modified xsi:type="dcterms:W3CDTF">2026-09-27T03:26:00Z</dcterms:modified>
  <cp:category/>
</cp:coreProperties>
</file>