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B1564" w14:textId="77777777" w:rsidR="00A94598" w:rsidRPr="00546C2F" w:rsidRDefault="00000000">
      <w:pPr>
        <w:pStyle w:val="Titolo1"/>
        <w:rPr>
          <w:lang w:val="it-IT"/>
        </w:rPr>
      </w:pPr>
      <w:r>
        <w:t>8.  Conclusioni e sviluppi futuri</w:t>
      </w:r>
    </w:p>
    <w:p w14:paraId="60709343" w14:textId="20BF0BC9" w:rsidR="00A94598" w:rsidRPr="00546C2F" w:rsidRDefault="00000000">
      <w:pPr>
        <w:jc w:val="both"/>
        <w:rPr>
          <w:lang w:val="it-IT"/>
        </w:rPr>
      </w:pPr>
      <w:r>
        <w:t>La tesi ha confrontato il sensore PIR con due moduli radar mmWave a 24 GHz per il rilevamento della presenza di una persona, prendendo come scenario applicativo quello del progetto DIPME. Lo studio dei sensori ha chiarito come funzionano e quali dati forniscono, dal singolo bit del PIR alla distanza e all'energia per gate del radar. Per il confronto è stata realizzata una piattaforma di acquisizione su ESP32, con un'interfaccia web servita dal nodo che mostra i dati in tempo reale e li esporta in CSV.</w:t>
      </w:r>
    </w:p>
    <w:p w14:paraId="60709343" w14:textId="20BF0BC9" w:rsidR="00A94598" w:rsidRPr="00546C2F" w:rsidRDefault="00000000">
      <w:pPr>
        <w:jc w:val="both"/>
        <w:rPr>
          <w:lang w:val="it-IT"/>
        </w:rPr>
      </w:pPr>
      <w:r>
        <w:t>La campagna sperimentale ha confermato che il PIR non vede una persona immobile, nemmeno sotto il banco, perché a decidere è il movimento e non la distanza. L'HLK-LD2410B invece rileva la persona immobile in tutti gli scenari, attraversa legno, vetro, cartongesso e plastica, che bloccano il PIR, e non ha prodotto falsi positivi a stanza vuota. L'HLK-LD2420 funziona nello stesso scenario, ma non localizza la persona ferma e richiede una taratura per installazione. Sulle grandezze del radar è stato poi costruito un indice di vitalità, calcolato a bordo del nodo, che distingue la persona immobile da quella in movimento, con soglie che dipendono dalla geometria in cui sono tarate.</w:t>
      </w:r>
    </w:p>
    <w:p w14:paraId="60709343" w14:textId="20BF0BC9" w:rsidR="00A94598" w:rsidRPr="00546C2F" w:rsidRDefault="00000000">
      <w:pPr>
        <w:jc w:val="both"/>
        <w:rPr>
          <w:lang w:val="it-IT"/>
        </w:rPr>
      </w:pPr>
      <w:r>
        <w:t>Il radar consuma però circa mille volte più del PIR e, sempre acceso, esaurisce la batteria in meno di un giorno. La risposta alla domanda di partenza è quindi che il radar rileva la persona con maggiore affidabilità, ma deve affiancare il PIR, non sostituirlo. In tempo di pace il nodo resta in deep-sleep e il PIR lo sveglia quando rileva una presenza, come già avviene nel progetto DIPME [callisto2026dipme]. In emergenza si accende il radar, che rileva anche la persona ferma, e alternandolo con un ciclo di lavoro l'autonomia supera i tre giorni. In concreto, al dispositivo del progetto va aggiunto un sensore radar come l'HLK-LD2410B, tarato all'installazione sotto l'arredo.</w:t>
      </w:r>
    </w:p>
    <w:p w14:paraId="60709343" w14:textId="20BF0BC9" w:rsidR="00A94598" w:rsidRPr="00546C2F" w:rsidRDefault="00000000">
      <w:pPr>
        <w:jc w:val="both"/>
        <w:rPr>
          <w:lang w:val="it-IT"/>
        </w:rPr>
      </w:pPr>
      <w:r>
        <w:t>Restano tuttavia diverse aree da esplorare. La prima è l'integrazione con la rete LoRa. Nel regime di emergenza il bit di presenza decide la cadenza dei messaggi del nodo [callisto2026dipme]. Il primo passo è far decidere quella cadenza al radar invece che al PIR, e aggiungere ai messaggi l'indice di vitalità, che occupa un solo byte, li renderebbe più informativi.</w:t>
      </w:r>
    </w:p>
    <w:p w14:paraId="60709343" w14:textId="20BF0BC9" w:rsidR="00A94598" w:rsidRPr="00546C2F" w:rsidRDefault="00000000">
      <w:pPr>
        <w:jc w:val="both"/>
        <w:rPr>
          <w:lang w:val="it-IT"/>
        </w:rPr>
      </w:pPr>
      <w:r>
        <w:t>Un'altra riguarda la prova nel dimostratore reale, dove restano da verificare i falsi positivi con arredi metallici, il comportamento con più persone, il montaggio rispetto alla lamiera forata del banco, la separazione fra banchi adiacenti e il rilevamento immediato della persona quando il radar viene riacceso.</w:t>
      </w:r>
    </w:p>
    <w:p w14:paraId="60709343" w14:textId="20BF0BC9" w:rsidR="00A94598" w:rsidRPr="00546C2F" w:rsidRDefault="00000000">
      <w:pPr>
        <w:jc w:val="both"/>
        <w:rPr>
          <w:lang w:val="it-IT"/>
        </w:rPr>
      </w:pPr>
      <w:r>
        <w:t>Infine, il firmware dell'HLK-LD2410B tara già le proprie soglie di presenza sul rumore di fondo, su comando e con il campo libero [hilinkV244]. Una procedura analoga eseguita dal nodo all'installazione, con il banco vuoto e poi occupato, adatterebbe anche il fondo per gate e le soglie dell'indice di vitalità alla geometria reale.</w:t>
      </w:r>
    </w:p>
    <w:p w14:paraId="60709343" w14:textId="20BF0BC9" w:rsidR="00A94598" w:rsidRPr="00546C2F" w:rsidRDefault="00000000">
      <w:pPr>
        <w:jc w:val="both"/>
        <w:rPr>
          <w:lang w:val="it-IT"/>
        </w:rPr>
      </w:pPr>
      <w:r>
        <w:t>In sintesi, il radar mmWave colma il limite del PIR nello scenario per cui il progetto DIPME è nato, e la piattaforma realizzata è pronta a portare il confronto nelle aule reali.</w:t>
      </w:r>
    </w:p>
    <w:sectPr w:rsidR="00A94598" w:rsidRPr="00546C2F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C1258" w14:textId="77777777" w:rsidR="004B590F" w:rsidRDefault="004B590F">
      <w:pPr>
        <w:spacing w:after="0" w:line="240" w:lineRule="auto"/>
      </w:pPr>
      <w:r>
        <w:separator/>
      </w:r>
    </w:p>
  </w:endnote>
  <w:endnote w:type="continuationSeparator" w:id="0">
    <w:p w14:paraId="0183DD7D" w14:textId="77777777" w:rsidR="004B590F" w:rsidRDefault="004B5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70F9C" w14:textId="77777777" w:rsidR="00DB4514" w:rsidRDefault="00000000">
    <w:pPr>
      <w:pStyle w:val="Pidipagina"/>
      <w:jc w:val="center"/>
    </w:pPr>
    <w:r>
      <w:fldChar w:fldCharType="begin"/>
    </w:r>
    <w:r>
      <w:instrText>PAGE</w:instrText>
    </w:r>
    <w:r>
      <w:fldChar w:fldCharType="separate"/>
    </w:r>
    <w:r w:rsidR="00EE52D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1DF64" w14:textId="77777777" w:rsidR="004B590F" w:rsidRDefault="004B590F">
      <w:pPr>
        <w:spacing w:after="0" w:line="240" w:lineRule="auto"/>
      </w:pPr>
      <w:r>
        <w:separator/>
      </w:r>
    </w:p>
  </w:footnote>
  <w:footnote w:type="continuationSeparator" w:id="0">
    <w:p w14:paraId="0AAA04B2" w14:textId="77777777" w:rsidR="004B590F" w:rsidRDefault="004B5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BE4CDEC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6180104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9D692C"/>
    <w:multiLevelType w:val="multilevel"/>
    <w:tmpl w:val="1514EB0E"/>
    <w:lvl w:ilvl="0">
      <w:start w:val="3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52" w:hanging="552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E543F9F"/>
    <w:multiLevelType w:val="multilevel"/>
    <w:tmpl w:val="E97CD9AA"/>
    <w:lvl w:ilvl="0">
      <w:start w:val="1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52" w:hanging="552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DBF040E"/>
    <w:multiLevelType w:val="hybridMultilevel"/>
    <w:tmpl w:val="93D004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D83CCE"/>
    <w:multiLevelType w:val="hybridMultilevel"/>
    <w:tmpl w:val="D66227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3C4BAA"/>
    <w:multiLevelType w:val="hybridMultilevel"/>
    <w:tmpl w:val="05CA8A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80267C"/>
    <w:multiLevelType w:val="hybridMultilevel"/>
    <w:tmpl w:val="29B201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0A5A86"/>
    <w:multiLevelType w:val="multilevel"/>
    <w:tmpl w:val="1514EB0E"/>
    <w:lvl w:ilvl="0">
      <w:start w:val="3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52" w:hanging="552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04D428A"/>
    <w:multiLevelType w:val="hybridMultilevel"/>
    <w:tmpl w:val="E9725C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A82578"/>
    <w:multiLevelType w:val="hybridMultilevel"/>
    <w:tmpl w:val="70DAC5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7C722F"/>
    <w:multiLevelType w:val="hybridMultilevel"/>
    <w:tmpl w:val="8B1E98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158354">
    <w:abstractNumId w:val="8"/>
  </w:num>
  <w:num w:numId="2" w16cid:durableId="31731148">
    <w:abstractNumId w:val="6"/>
  </w:num>
  <w:num w:numId="3" w16cid:durableId="1997683848">
    <w:abstractNumId w:val="5"/>
  </w:num>
  <w:num w:numId="4" w16cid:durableId="41563224">
    <w:abstractNumId w:val="4"/>
  </w:num>
  <w:num w:numId="5" w16cid:durableId="1620069379">
    <w:abstractNumId w:val="7"/>
  </w:num>
  <w:num w:numId="6" w16cid:durableId="309557962">
    <w:abstractNumId w:val="3"/>
  </w:num>
  <w:num w:numId="7" w16cid:durableId="1631594252">
    <w:abstractNumId w:val="2"/>
  </w:num>
  <w:num w:numId="8" w16cid:durableId="1691640136">
    <w:abstractNumId w:val="1"/>
  </w:num>
  <w:num w:numId="9" w16cid:durableId="2063675258">
    <w:abstractNumId w:val="0"/>
  </w:num>
  <w:num w:numId="10" w16cid:durableId="1239487484">
    <w:abstractNumId w:val="7"/>
    <w:lvlOverride w:ilvl="0">
      <w:startOverride w:val="1"/>
    </w:lvlOverride>
  </w:num>
  <w:num w:numId="11" w16cid:durableId="1673101247">
    <w:abstractNumId w:val="7"/>
    <w:lvlOverride w:ilvl="0">
      <w:startOverride w:val="1"/>
    </w:lvlOverride>
  </w:num>
  <w:num w:numId="12" w16cid:durableId="914364268">
    <w:abstractNumId w:val="12"/>
  </w:num>
  <w:num w:numId="13" w16cid:durableId="767778724">
    <w:abstractNumId w:val="7"/>
  </w:num>
  <w:num w:numId="14" w16cid:durableId="247738489">
    <w:abstractNumId w:val="11"/>
  </w:num>
  <w:num w:numId="15" w16cid:durableId="901448192">
    <w:abstractNumId w:val="7"/>
  </w:num>
  <w:num w:numId="16" w16cid:durableId="471673839">
    <w:abstractNumId w:val="15"/>
  </w:num>
  <w:num w:numId="17" w16cid:durableId="451368799">
    <w:abstractNumId w:val="9"/>
  </w:num>
  <w:num w:numId="18" w16cid:durableId="66271486">
    <w:abstractNumId w:val="10"/>
  </w:num>
  <w:num w:numId="19" w16cid:durableId="603533938">
    <w:abstractNumId w:val="18"/>
  </w:num>
  <w:num w:numId="20" w16cid:durableId="1662613466">
    <w:abstractNumId w:val="13"/>
  </w:num>
  <w:num w:numId="21" w16cid:durableId="838882534">
    <w:abstractNumId w:val="14"/>
  </w:num>
  <w:num w:numId="22" w16cid:durableId="1895003980">
    <w:abstractNumId w:val="17"/>
  </w:num>
  <w:num w:numId="23" w16cid:durableId="20076604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0E5"/>
    <w:rsid w:val="000219CC"/>
    <w:rsid w:val="00022E14"/>
    <w:rsid w:val="00026CA5"/>
    <w:rsid w:val="00034616"/>
    <w:rsid w:val="000368BE"/>
    <w:rsid w:val="000377DE"/>
    <w:rsid w:val="00040283"/>
    <w:rsid w:val="000532DD"/>
    <w:rsid w:val="0006063C"/>
    <w:rsid w:val="000777CC"/>
    <w:rsid w:val="00086F3E"/>
    <w:rsid w:val="00091C39"/>
    <w:rsid w:val="000955F3"/>
    <w:rsid w:val="000A18A7"/>
    <w:rsid w:val="000B1783"/>
    <w:rsid w:val="000C39D0"/>
    <w:rsid w:val="000C4EA6"/>
    <w:rsid w:val="00115854"/>
    <w:rsid w:val="00115C32"/>
    <w:rsid w:val="00130460"/>
    <w:rsid w:val="0015074B"/>
    <w:rsid w:val="00182CD6"/>
    <w:rsid w:val="001A7F4A"/>
    <w:rsid w:val="001C2807"/>
    <w:rsid w:val="001E3017"/>
    <w:rsid w:val="001F52FF"/>
    <w:rsid w:val="00215E56"/>
    <w:rsid w:val="0023134C"/>
    <w:rsid w:val="0026681E"/>
    <w:rsid w:val="00271FBE"/>
    <w:rsid w:val="002726E9"/>
    <w:rsid w:val="0029639D"/>
    <w:rsid w:val="00297CA9"/>
    <w:rsid w:val="002A0001"/>
    <w:rsid w:val="002A762C"/>
    <w:rsid w:val="002B0A2E"/>
    <w:rsid w:val="002F6AF0"/>
    <w:rsid w:val="00317CDF"/>
    <w:rsid w:val="00323AAE"/>
    <w:rsid w:val="00326F90"/>
    <w:rsid w:val="00336224"/>
    <w:rsid w:val="0035242A"/>
    <w:rsid w:val="003624B7"/>
    <w:rsid w:val="003B1AA4"/>
    <w:rsid w:val="003C311A"/>
    <w:rsid w:val="003C354F"/>
    <w:rsid w:val="003D6535"/>
    <w:rsid w:val="003D75E2"/>
    <w:rsid w:val="0043572F"/>
    <w:rsid w:val="00451A96"/>
    <w:rsid w:val="00461450"/>
    <w:rsid w:val="0047710F"/>
    <w:rsid w:val="00497768"/>
    <w:rsid w:val="00497E4B"/>
    <w:rsid w:val="004B590F"/>
    <w:rsid w:val="004C07DA"/>
    <w:rsid w:val="004D1753"/>
    <w:rsid w:val="004D251E"/>
    <w:rsid w:val="00501D87"/>
    <w:rsid w:val="00543A6C"/>
    <w:rsid w:val="00546C2F"/>
    <w:rsid w:val="00556999"/>
    <w:rsid w:val="00563030"/>
    <w:rsid w:val="00570F7D"/>
    <w:rsid w:val="00572165"/>
    <w:rsid w:val="00592DBA"/>
    <w:rsid w:val="005A6A2C"/>
    <w:rsid w:val="005E18EE"/>
    <w:rsid w:val="00603D10"/>
    <w:rsid w:val="006156C0"/>
    <w:rsid w:val="006339CF"/>
    <w:rsid w:val="006C7891"/>
    <w:rsid w:val="006E3C61"/>
    <w:rsid w:val="006E66A7"/>
    <w:rsid w:val="006F5E86"/>
    <w:rsid w:val="00723205"/>
    <w:rsid w:val="00764EFF"/>
    <w:rsid w:val="00765F7B"/>
    <w:rsid w:val="00771342"/>
    <w:rsid w:val="00796B7B"/>
    <w:rsid w:val="007A1FDB"/>
    <w:rsid w:val="007C2495"/>
    <w:rsid w:val="007C28A7"/>
    <w:rsid w:val="007C401A"/>
    <w:rsid w:val="007D4D60"/>
    <w:rsid w:val="007D55C5"/>
    <w:rsid w:val="007E063F"/>
    <w:rsid w:val="007F4A49"/>
    <w:rsid w:val="00803DAA"/>
    <w:rsid w:val="008259AE"/>
    <w:rsid w:val="00842ABE"/>
    <w:rsid w:val="008632AA"/>
    <w:rsid w:val="00865BAD"/>
    <w:rsid w:val="00884736"/>
    <w:rsid w:val="00894B43"/>
    <w:rsid w:val="008F4FDF"/>
    <w:rsid w:val="009B0C51"/>
    <w:rsid w:val="009B4FE6"/>
    <w:rsid w:val="009E1CA5"/>
    <w:rsid w:val="00A26530"/>
    <w:rsid w:val="00A2795D"/>
    <w:rsid w:val="00A409F6"/>
    <w:rsid w:val="00A42D85"/>
    <w:rsid w:val="00A81986"/>
    <w:rsid w:val="00A829F4"/>
    <w:rsid w:val="00A94598"/>
    <w:rsid w:val="00AA1D8D"/>
    <w:rsid w:val="00AB6FE2"/>
    <w:rsid w:val="00AC0AC5"/>
    <w:rsid w:val="00AE3BCD"/>
    <w:rsid w:val="00AE62B8"/>
    <w:rsid w:val="00AE747F"/>
    <w:rsid w:val="00AF1B3C"/>
    <w:rsid w:val="00B226E3"/>
    <w:rsid w:val="00B47730"/>
    <w:rsid w:val="00B55828"/>
    <w:rsid w:val="00B9764E"/>
    <w:rsid w:val="00BA2F18"/>
    <w:rsid w:val="00BE3EAA"/>
    <w:rsid w:val="00BF1E3F"/>
    <w:rsid w:val="00C15E48"/>
    <w:rsid w:val="00C30A56"/>
    <w:rsid w:val="00C35595"/>
    <w:rsid w:val="00C446DE"/>
    <w:rsid w:val="00C45269"/>
    <w:rsid w:val="00C51C56"/>
    <w:rsid w:val="00CA67A1"/>
    <w:rsid w:val="00CB0664"/>
    <w:rsid w:val="00CD1D2F"/>
    <w:rsid w:val="00CD4541"/>
    <w:rsid w:val="00CD500E"/>
    <w:rsid w:val="00CD53B1"/>
    <w:rsid w:val="00D2415A"/>
    <w:rsid w:val="00D24CBB"/>
    <w:rsid w:val="00D45AF5"/>
    <w:rsid w:val="00D6448D"/>
    <w:rsid w:val="00D6751D"/>
    <w:rsid w:val="00D77719"/>
    <w:rsid w:val="00DB4514"/>
    <w:rsid w:val="00DB4DE1"/>
    <w:rsid w:val="00DD464C"/>
    <w:rsid w:val="00E23BF7"/>
    <w:rsid w:val="00E53724"/>
    <w:rsid w:val="00E71949"/>
    <w:rsid w:val="00E760F2"/>
    <w:rsid w:val="00E765E8"/>
    <w:rsid w:val="00E76973"/>
    <w:rsid w:val="00E92377"/>
    <w:rsid w:val="00EA17E1"/>
    <w:rsid w:val="00EB7729"/>
    <w:rsid w:val="00EC1111"/>
    <w:rsid w:val="00EE52D6"/>
    <w:rsid w:val="00F12EEC"/>
    <w:rsid w:val="00F5649C"/>
    <w:rsid w:val="00FC693F"/>
    <w:rsid w:val="00FC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134C2A"/>
  <w14:defaultImageDpi w14:val="300"/>
  <w15:docId w15:val="{9239C56F-CF9D-426D-9994-27F959F2A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mbria" w:eastAsia="Cambria" w:hAnsi="Cambria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360" w:after="120"/>
      <w:outlineLvl w:val="0"/>
    </w:pPr>
    <w:rPr>
      <w:rFonts w:asciiTheme="minorHAnsi" w:eastAsiaTheme="majorEastAsia" w:hAnsiTheme="minorHAnsi" w:cstheme="majorBidi"/>
      <w:b/>
      <w:bCs/>
      <w:color w:val="000000"/>
      <w:sz w:val="40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inorHAnsi" w:eastAsiaTheme="majorEastAsia" w:hAnsiTheme="minorHAnsi" w:cstheme="majorBidi"/>
      <w:b/>
      <w:bCs/>
      <w:color w:val="000000"/>
      <w:sz w:val="28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inorHAnsi" w:eastAsiaTheme="majorEastAsia" w:hAnsiTheme="minorHAnsi" w:cstheme="majorBidi"/>
      <w:b/>
      <w:bCs/>
      <w:color w:val="000000"/>
      <w:sz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1204</TotalTime>
  <Pages>1</Pages>
  <Words>3021</Words>
  <Characters>17221</Characters>
  <Application>Microsoft Office Word</Application>
  <DocSecurity>0</DocSecurity>
  <Lines>143</Lines>
  <Paragraphs>40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Stefano De Bernardinis</cp:lastModifiedBy>
  <cp:revision>57</cp:revision>
  <dcterms:created xsi:type="dcterms:W3CDTF">2013-12-23T23:15:00Z</dcterms:created>
  <dcterms:modified xsi:type="dcterms:W3CDTF">2026-09-23T22:01:00Z</dcterms:modified>
  <cp:category/>
</cp:coreProperties>
</file>