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hc3s5rfww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Capitolo 3: Architettura RESTful e Approccio HATEOAS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Il sistema backend di BitPub è stato progettato per esporre le proprie funzionalità tramite un'architettura Web rigorosamente </w:t>
      </w:r>
      <w:r w:rsidDel="00000000" w:rsidR="00000000" w:rsidRPr="00000000">
        <w:rPr>
          <w:b w:val="1"/>
          <w:bCs w:val="1"/>
          <w:rtl w:val="0"/>
        </w:rPr>
        <w:t xml:space="preserve">RESTful e State-Less</w:t>
      </w:r>
      <w:r w:rsidDel="00000000" w:rsidR="00000000" w:rsidRPr="00000000">
        <w:rPr>
          <w:rtl w:val="0"/>
        </w:rPr>
        <w:t xml:space="preserve">. Questo paradigma assicura che il server non mantenga in memoria alcuno stato delle sessioni utente (come ad esempio i cookies), delegando al client JavaFX la conservazione del contesto e garantendo così un'elevata scalabilità del sistema.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Per svincolare l'interfaccia grafica da percorsi di rete rigidi, abbiamo integrato il principio </w:t>
      </w:r>
      <w:r w:rsidDel="00000000" w:rsidR="00000000" w:rsidRPr="00000000">
        <w:rPr>
          <w:b w:val="1"/>
          <w:bCs w:val="1"/>
          <w:rtl w:val="0"/>
        </w:rPr>
        <w:t xml:space="preserve">HATEOAS</w:t>
      </w:r>
      <w:r w:rsidDel="00000000" w:rsidR="00000000" w:rsidRPr="00000000">
        <w:rPr>
          <w:rtl w:val="0"/>
        </w:rPr>
        <w:t xml:space="preserve"> (Hypermedia as the Engine of Application State).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Navigazione Dinamica:</w:t>
      </w:r>
      <w:r w:rsidDel="00000000" w:rsidR="00000000" w:rsidRPr="00000000">
        <w:rPr>
          <w:rtl w:val="0"/>
        </w:rPr>
        <w:t xml:space="preserve"> A differenza delle API tradizionali, le risposte JSON fornite dal nostro server includono attivamente dei link (collegamenti ipertestuali) che suggeriscono al client le possibili interazioni successive.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Disaccoppiamento UI-Server:</w:t>
      </w:r>
      <w:r w:rsidDel="00000000" w:rsidR="00000000" w:rsidRPr="00000000">
        <w:rPr>
          <w:rtl w:val="0"/>
        </w:rPr>
        <w:t xml:space="preserve"> In questo modo, la UI non è legata a percorsi URI statici, ma scopre dinamicamente le funzionalità disponibili (ad esempio, aggiornare o eliminare un torneo) analizzando il payload JSON ricevuto.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Infine, per gestire l'evoluzione e i futuri aggiornamenti dei servizi esposti senza interrompere la retrocompatibilità per i client già distribuiti, le API sono state sottoposte a </w:t>
      </w:r>
      <w:r w:rsidDel="00000000" w:rsidR="00000000" w:rsidRPr="00000000">
        <w:rPr>
          <w:b w:val="1"/>
          <w:bCs w:val="1"/>
          <w:rtl w:val="0"/>
        </w:rPr>
        <w:t xml:space="preserve">Semantic Versioning</w:t>
      </w:r>
      <w:r w:rsidDel="00000000" w:rsidR="00000000" w:rsidRPr="00000000">
        <w:rPr>
          <w:rtl w:val="0"/>
        </w:rPr>
        <w:t xml:space="preserve"> (es. v1.2.0). La negoziazione della versione avviene in modo elegante e trasparente richiedendo la risorsa desiderata tramite l'header HTTP "Accept".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xtyuvhfs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Capitolo 4: Architettura di Rete, NAT/Firewall e Resilienza MQTT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Il problema architettonico centrale del progetto BitPub era stabilire una connessione sicura e affidabile tra i dispositivi situati all'interno di reti LAN private (le sale giochi) e la rete pubblica (il Cloud), superando i blocchi di sicurezza imposti dai dispositivi di rete locali.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Superamento del NAT e Firewall:</w:t>
      </w:r>
      <w:r w:rsidDel="00000000" w:rsidR="00000000" w:rsidRPr="00000000">
        <w:rPr>
          <w:rtl w:val="0"/>
        </w:rPr>
        <w:t xml:space="preserve"> Le classiche richieste HTTP in ingresso verrebbero bloccate dai firewall delle sale giochi. Per aggirare questo ostacolo senza richiedere riconfigurazioni hardware ai gestori dei locali, abbiamo introdotto un </w:t>
      </w:r>
      <w:r w:rsidDel="00000000" w:rsidR="00000000" w:rsidRPr="00000000">
        <w:rPr>
          <w:b w:val="1"/>
          <w:bCs w:val="1"/>
          <w:rtl w:val="0"/>
        </w:rPr>
        <w:t xml:space="preserve">Message Broker (Mosquitto) intermedio in bridging</w:t>
      </w:r>
      <w:r w:rsidDel="00000000" w:rsidR="00000000" w:rsidRPr="00000000">
        <w:rPr>
          <w:rtl w:val="0"/>
        </w:rPr>
        <w:t xml:space="preserve">, situato nel Cloud e accessibile pubblicamente sulla porta sicura 8883 tramite certificati TLS.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Connessione Outbound:</w:t>
      </w:r>
      <w:r w:rsidDel="00000000" w:rsidR="00000000" w:rsidRPr="00000000">
        <w:rPr>
          <w:rtl w:val="0"/>
        </w:rPr>
        <w:t xml:space="preserve"> Il paradigma viene ribaltato: è l'Edge Node locale (nella LAN) ad avviare spontaneamente la connessione verso l'esterno agganciandosi al broker. Essendo una connessione in uscita (outbound), i router locali la lasciano passare, creando un tunnel TCP persistente e bidirezionale.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Il sistema rispetta inoltre un rigoroso requisito di tolleranza ai guasti, dovendo garantire il funzionamento locale anche offline.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Durable Session:</w:t>
      </w:r>
      <w:r w:rsidDel="00000000" w:rsidR="00000000" w:rsidRPr="00000000">
        <w:rPr>
          <w:rtl w:val="0"/>
        </w:rPr>
        <w:t xml:space="preserve"> Abbiamo configurato il client Eclipse Paho dell'Edge Node impostando l'attributo </w:t>
      </w:r>
      <w:r w:rsidDel="00000000" w:rsidR="00000000" w:rsidRPr="00000000">
        <w:rPr>
          <w:color w:val="188038"/>
          <w:rtl w:val="0"/>
        </w:rPr>
        <w:t xml:space="preserve">setCleanSession(false)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Paradigma Store and Forward:</w:t>
      </w:r>
      <w:r w:rsidDel="00000000" w:rsidR="00000000" w:rsidRPr="00000000">
        <w:rPr>
          <w:rtl w:val="0"/>
        </w:rPr>
        <w:t xml:space="preserve"> In caso di interruzione della rete internet, questa "Durable Session" assicura che il nodo immagazzini i dati in un buffer locale. Al ripristino della connettività, la sessione viene recuperata istantaneamente e il broker recapita tutti i messaggi precedentemente trattenuti, assicurando una ritrasmissione differita senza alcuna perdita di log.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per i tuoi compagni:</w:t>
      </w:r>
      <w:r w:rsidDel="00000000" w:rsidR="00000000" w:rsidRPr="00000000">
        <w:rPr>
          <w:rtl w:val="0"/>
        </w:rPr>
        <w:t xml:space="preserve"> Mentre tu inserisci questi capitoli nel documento condiviso, puoi ricordare a Stefano di concentrarsi sulla validazione di Spring Boot rispetto all'</w:t>
      </w:r>
      <w:r w:rsidDel="00000000" w:rsidR="00000000" w:rsidRPr="00000000">
        <w:rPr>
          <w:color w:val="188038"/>
          <w:rtl w:val="0"/>
        </w:rPr>
        <w:t xml:space="preserve">HttpServer</w:t>
      </w:r>
      <w:r w:rsidDel="00000000" w:rsidR="00000000" w:rsidRPr="00000000">
        <w:rPr>
          <w:rtl w:val="0"/>
        </w:rPr>
        <w:t xml:space="preserve"> nativo per i Capitoli 1 e 2. Per Luca, lo strumento Draw.io sarà perfetto per mappare visivamente queste dinamiche: assicurati che disegni esplicitamente la freccia </w:t>
      </w:r>
      <w:r w:rsidDel="00000000" w:rsidR="00000000" w:rsidRPr="00000000">
        <w:rPr>
          <w:i w:val="1"/>
          <w:iCs w:val="1"/>
          <w:rtl w:val="0"/>
        </w:rPr>
        <w:t xml:space="preserve">Outbound</w:t>
      </w:r>
      <w:r w:rsidDel="00000000" w:rsidR="00000000" w:rsidRPr="00000000">
        <w:rPr>
          <w:rtl w:val="0"/>
        </w:rPr>
        <w:t xml:space="preserve"> dall'Edge al Cloud nel suo schema!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