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rPr>
      </w:pPr>
      <w:r w:rsidDel="00000000" w:rsidR="00000000" w:rsidRPr="00000000">
        <w:rPr>
          <w:b w:val="1"/>
          <w:bCs w:val="1"/>
          <w:rtl w:val="0"/>
        </w:rPr>
        <w:t xml:space="preserve">REVISIÓN DOCUMENTAL</w:t>
      </w:r>
    </w:p>
    <w:p w:rsidR="00000000" w:rsidDel="00000000" w:rsidP="00000000" w:rsidRDefault="00000000" w:rsidRPr="00000000" w14:paraId="00000002">
      <w:pPr>
        <w:spacing w:after="240" w:before="240" w:line="360" w:lineRule="auto"/>
        <w:jc w:val="center"/>
        <w:rPr>
          <w:b w:val="1"/>
          <w:bCs w:val="1"/>
        </w:rPr>
      </w:pPr>
      <w:r w:rsidDel="00000000" w:rsidR="00000000" w:rsidRPr="00000000">
        <w:rPr>
          <w:b w:val="1"/>
          <w:bCs w:val="1"/>
          <w:rtl w:val="0"/>
        </w:rPr>
        <w:t xml:space="preserve">Sistema de Gestión - Cigarrería Nuestra Tierrita</w:t>
      </w:r>
    </w:p>
    <w:p w:rsidR="00000000" w:rsidDel="00000000" w:rsidP="00000000" w:rsidRDefault="00000000" w:rsidRPr="00000000" w14:paraId="00000003">
      <w:pPr>
        <w:spacing w:after="240" w:before="240" w:line="360" w:lineRule="auto"/>
        <w:rPr>
          <w:b w:val="1"/>
          <w:bCs w:val="1"/>
        </w:rPr>
      </w:pPr>
      <w:r w:rsidDel="00000000" w:rsidR="00000000" w:rsidRPr="00000000">
        <w:rPr>
          <w:rtl w:val="0"/>
        </w:rPr>
      </w:r>
    </w:p>
    <w:p w:rsidR="00000000" w:rsidDel="00000000" w:rsidP="00000000" w:rsidRDefault="00000000" w:rsidRPr="00000000" w14:paraId="0000000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6">
      <w:pPr>
        <w:spacing w:after="240" w:before="240" w:line="360" w:lineRule="auto"/>
        <w:jc w:val="center"/>
        <w:rPr/>
      </w:pPr>
      <w:r w:rsidDel="00000000" w:rsidR="00000000" w:rsidRPr="00000000">
        <w:rPr>
          <w:b w:val="1"/>
          <w:bCs w:val="1"/>
          <w:rtl w:val="0"/>
        </w:rPr>
        <w:br w:type="textWrapping"/>
      </w:r>
      <w:r w:rsidDel="00000000" w:rsidR="00000000" w:rsidRPr="00000000">
        <w:rPr>
          <w:rtl w:val="0"/>
        </w:rPr>
        <w:t xml:space="preserve"> Ingeniería de Requisitos</w:t>
      </w:r>
    </w:p>
    <w:p w:rsidR="00000000" w:rsidDel="00000000" w:rsidP="00000000" w:rsidRDefault="00000000" w:rsidRPr="00000000" w14:paraId="00000007">
      <w:pPr>
        <w:spacing w:after="240" w:before="240" w:line="360" w:lineRule="auto"/>
        <w:jc w:val="center"/>
        <w:rPr/>
      </w:pPr>
      <w:r w:rsidDel="00000000" w:rsidR="00000000" w:rsidRPr="00000000">
        <w:rPr>
          <w:rtl w:val="0"/>
        </w:rPr>
      </w:r>
    </w:p>
    <w:p w:rsidR="00000000" w:rsidDel="00000000" w:rsidP="00000000" w:rsidRDefault="00000000" w:rsidRPr="00000000" w14:paraId="00000008">
      <w:pPr>
        <w:spacing w:after="240" w:before="240" w:line="360" w:lineRule="auto"/>
        <w:rPr/>
      </w:pPr>
      <w:r w:rsidDel="00000000" w:rsidR="00000000" w:rsidRPr="00000000">
        <w:rPr>
          <w:rtl w:val="0"/>
        </w:rPr>
      </w:r>
    </w:p>
    <w:p w:rsidR="00000000" w:rsidDel="00000000" w:rsidP="00000000" w:rsidRDefault="00000000" w:rsidRPr="00000000" w14:paraId="00000009">
      <w:pPr>
        <w:spacing w:after="240" w:before="240" w:line="360" w:lineRule="auto"/>
        <w:jc w:val="center"/>
        <w:rPr/>
      </w:pPr>
      <w:r w:rsidDel="00000000" w:rsidR="00000000" w:rsidRPr="00000000">
        <w:rPr>
          <w:rtl w:val="0"/>
        </w:rPr>
        <w:br w:type="textWrapping"/>
        <w:t xml:space="preserve"> Integrantes:</w:t>
      </w:r>
    </w:p>
    <w:p w:rsidR="00000000" w:rsidDel="00000000" w:rsidP="00000000" w:rsidRDefault="00000000" w:rsidRPr="00000000" w14:paraId="0000000A">
      <w:pPr>
        <w:spacing w:after="240" w:before="240" w:line="360" w:lineRule="auto"/>
        <w:jc w:val="center"/>
        <w:rPr/>
      </w:pPr>
      <w:r w:rsidDel="00000000" w:rsidR="00000000" w:rsidRPr="00000000">
        <w:rPr>
          <w:rtl w:val="0"/>
        </w:rPr>
        <w:t xml:space="preserve">Alfonso Aguirre Arias</w:t>
      </w:r>
    </w:p>
    <w:p w:rsidR="00000000" w:rsidDel="00000000" w:rsidP="00000000" w:rsidRDefault="00000000" w:rsidRPr="00000000" w14:paraId="0000000B">
      <w:pPr>
        <w:spacing w:after="240" w:before="240" w:line="360" w:lineRule="auto"/>
        <w:jc w:val="center"/>
        <w:rPr/>
      </w:pPr>
      <w:r w:rsidDel="00000000" w:rsidR="00000000" w:rsidRPr="00000000">
        <w:rPr>
          <w:rtl w:val="0"/>
        </w:rPr>
        <w:t xml:space="preserve">Daniel Fernando Alfonso Rubio</w:t>
      </w:r>
    </w:p>
    <w:p w:rsidR="00000000" w:rsidDel="00000000" w:rsidP="00000000" w:rsidRDefault="00000000" w:rsidRPr="00000000" w14:paraId="0000000C">
      <w:pPr>
        <w:spacing w:after="240" w:before="240" w:line="360" w:lineRule="auto"/>
        <w:jc w:val="center"/>
        <w:rPr/>
      </w:pPr>
      <w:r w:rsidDel="00000000" w:rsidR="00000000" w:rsidRPr="00000000">
        <w:rPr>
          <w:rtl w:val="0"/>
        </w:rPr>
        <w:t xml:space="preserve">Vitys Steeven Benavides Avila</w:t>
      </w:r>
    </w:p>
    <w:p w:rsidR="00000000" w:rsidDel="00000000" w:rsidP="00000000" w:rsidRDefault="00000000" w:rsidRPr="00000000" w14:paraId="0000000D">
      <w:pPr>
        <w:spacing w:after="240" w:before="240" w:line="360" w:lineRule="auto"/>
        <w:jc w:val="center"/>
        <w:rPr/>
      </w:pPr>
      <w:r w:rsidDel="00000000" w:rsidR="00000000" w:rsidRPr="00000000">
        <w:rPr>
          <w:rtl w:val="0"/>
        </w:rPr>
        <w:t xml:space="preserve">Daniel Esteban Benavides Valbuena</w:t>
      </w:r>
    </w:p>
    <w:p w:rsidR="00000000" w:rsidDel="00000000" w:rsidP="00000000" w:rsidRDefault="00000000" w:rsidRPr="00000000" w14:paraId="0000000E">
      <w:pPr>
        <w:spacing w:after="240" w:before="240" w:line="360" w:lineRule="auto"/>
        <w:jc w:val="center"/>
        <w:rPr/>
      </w:pPr>
      <w:r w:rsidDel="00000000" w:rsidR="00000000" w:rsidRPr="00000000">
        <w:rPr>
          <w:rtl w:val="0"/>
        </w:rPr>
      </w:r>
    </w:p>
    <w:p w:rsidR="00000000" w:rsidDel="00000000" w:rsidP="00000000" w:rsidRDefault="00000000" w:rsidRPr="00000000" w14:paraId="0000000F">
      <w:pPr>
        <w:spacing w:after="240" w:before="240" w:line="360" w:lineRule="auto"/>
        <w:jc w:val="center"/>
        <w:rPr/>
      </w:pPr>
      <w:r w:rsidDel="00000000" w:rsidR="00000000" w:rsidRPr="00000000">
        <w:rPr>
          <w:rtl w:val="0"/>
        </w:rPr>
      </w:r>
    </w:p>
    <w:p w:rsidR="00000000" w:rsidDel="00000000" w:rsidP="00000000" w:rsidRDefault="00000000" w:rsidRPr="00000000" w14:paraId="00000010">
      <w:pPr>
        <w:spacing w:after="240" w:before="240" w:line="360" w:lineRule="auto"/>
        <w:rPr/>
      </w:pPr>
      <w:r w:rsidDel="00000000" w:rsidR="00000000" w:rsidRPr="00000000">
        <w:rPr>
          <w:rtl w:val="0"/>
        </w:rPr>
      </w:r>
    </w:p>
    <w:p w:rsidR="00000000" w:rsidDel="00000000" w:rsidP="00000000" w:rsidRDefault="00000000" w:rsidRPr="00000000" w14:paraId="00000011">
      <w:pPr>
        <w:spacing w:after="240" w:before="240" w:line="360" w:lineRule="auto"/>
        <w:jc w:val="center"/>
        <w:rPr/>
      </w:pPr>
      <w:r w:rsidDel="00000000" w:rsidR="00000000" w:rsidRPr="00000000">
        <w:rPr>
          <w:rtl w:val="0"/>
        </w:rPr>
        <w:br w:type="textWrapping"/>
        <w:t xml:space="preserve">Tunja, Boyacá</w:t>
      </w:r>
    </w:p>
    <w:p w:rsidR="00000000" w:rsidDel="00000000" w:rsidP="00000000" w:rsidRDefault="00000000" w:rsidRPr="00000000" w14:paraId="00000012">
      <w:pPr>
        <w:spacing w:after="240" w:before="240" w:line="360" w:lineRule="auto"/>
        <w:jc w:val="center"/>
        <w:rPr/>
      </w:pPr>
      <w:r w:rsidDel="00000000" w:rsidR="00000000" w:rsidRPr="00000000">
        <w:rPr>
          <w:rtl w:val="0"/>
        </w:rPr>
        <w:t xml:space="preserve">2026 - 1</w: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160" w:before="240" w:line="360" w:lineRule="auto"/>
        <w:rPr/>
      </w:pPr>
      <w:r w:rsidDel="00000000" w:rsidR="00000000" w:rsidRPr="00000000">
        <w:rPr>
          <w:b w:val="1"/>
          <w:bCs w:val="1"/>
          <w:rtl w:val="0"/>
        </w:rPr>
        <w:t xml:space="preserve">Hallazgos</w:t>
      </w: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jc w:val="both"/>
        <w:rPr>
          <w:b w:val="1"/>
          <w:bCs w:val="1"/>
        </w:rPr>
      </w:pPr>
      <w:r w:rsidDel="00000000" w:rsidR="00000000" w:rsidRPr="00000000">
        <w:rPr>
          <w:b w:val="1"/>
          <w:bCs w:val="1"/>
          <w:rtl w:val="0"/>
        </w:rPr>
        <w:t xml:space="preserve">La gestión de inventarios en el comercio minorista informal.</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rtl w:val="0"/>
        </w:rPr>
        <w:t xml:space="preserve">Uno de los retos más comunes en los pequeños negocios como las cigarrerías colombianas es la ausencia de sistemas formales de control de inventario. Según estudios del sector comercio en Colombia, más del 60% de las microempresas no lleva un registro sistemático de sus existencias, lo que genera pérdidas por mercancía vencida, faltantes no detectados a tiempo y compras innecesarias a proveedores. En el caso de la Cigarrería Nuestra Tierrita, establecimiento con más de 12 años de operación en la ciudad de Tunja, este escenario es particularmente evidente: el propietario gestiona el inventario de manera visual e intuitiva, sin soporte de ninguna herramienta digital. Esta práctica, aunque funcional a pequeña escala, se convierte en un cuello de botella cuando el volumen de productos crece o cuando es necesario tomar decisiones de reabastecimiento con rapidez. La literatura señala que la implementación de sistemas de gestión de inventario, incluso básicos, puede reducir hasta en un 30% los costos asociados a pérdidas por obsolescencia y desabastecimiento (Ballou, 2004). Adicionalmente, el Ministerio de Comercio, Industria y Turismo de Colombia ha promovido desde 2020 el Programa de Formalización Empresarial, que incluye entre sus componentes el acceso a herramientas tecnológicas para el control de inventarios, reconociendo que este es uno de los puntos críticos del comercio informal urbano en ciudades intermedias como Tunja.</w:t>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after="240" w:line="360" w:lineRule="auto"/>
        <w:rPr/>
      </w:pPr>
      <w:hyperlink r:id="rId7">
        <w:r w:rsidDel="00000000" w:rsidR="00000000" w:rsidRPr="00000000">
          <w:rPr>
            <w:color w:val="1155cc"/>
            <w:u w:val="single"/>
            <w:rtl w:val="0"/>
          </w:rPr>
          <w:t xml:space="preserve">https://www.mincomercio.gov.co/programas-de-formalizacion-empresarial</w:t>
        </w:r>
      </w:hyperlink>
      <w:r w:rsidDel="00000000" w:rsidR="00000000" w:rsidRPr="00000000">
        <w:rPr>
          <w:rtl w:val="0"/>
        </w:rPr>
      </w:r>
    </w:p>
    <w:p w:rsidR="00000000" w:rsidDel="00000000" w:rsidP="00000000" w:rsidRDefault="00000000" w:rsidRPr="00000000" w14:paraId="0000001A">
      <w:pPr>
        <w:spacing w:line="360" w:lineRule="auto"/>
        <w:jc w:val="both"/>
        <w:rPr>
          <w:b w:val="1"/>
          <w:bCs w:val="1"/>
        </w:rPr>
      </w:pPr>
      <w:r w:rsidDel="00000000" w:rsidR="00000000" w:rsidRPr="00000000">
        <w:rPr>
          <w:b w:val="1"/>
          <w:bCs w:val="1"/>
          <w:rtl w:val="0"/>
        </w:rPr>
        <w:t xml:space="preserve">La digitalización de pequeños negocios en Colombia.</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tl w:val="0"/>
        </w:rPr>
        <w:t xml:space="preserve">Colombia ha experimentado en la última década un proceso acelerado de transformación digital que, sin embargo, no ha llegado de manera uniforme a todos los sectores. Mientras que las grandes superficies y cadenas de retail han adoptado tecnologías avanzadas de gestión, los pequeños comercios —incluyendo tiendas de barrio, papelerías y cigarrerías— siguen operando con métodos tradicionales. El Ministerio de Tecnologías de la Información y las Comunicaciones (MinTIC) identificó en su informe de 2022 que apenas el 18% de las microempresas colombianas contaba con algún tipo de sistema digital para gestionar sus operaciones comerciales. Este rezago es más pronunciado en ciudades intermedias donde el acceso a capacitación tecnológica es limitado. Tunja, pese a ser una ciudad universitaria, presenta este mismo fenómeno en su comercio informal y de barrio. La pandemia del COVID-19 aceleró la adopción de herramientas digitales en algunos sectores, pero para negocios como las cigarrerías, la transición ha sido lenta debido a factores como la edad del propietario, la percepción de que la tecnología es costosa o compleja, y la falta de acompañamiento técnico. En este contexto, el desarrollo de una solución de software a medida para la Cigarrería Nuestra Tierrita no solo responde a una necesidad operativa puntual, sino que se enmarca en una tendencia nacional de inclusión digital del comercio minorista informal.</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after="240" w:line="360" w:lineRule="auto"/>
        <w:rPr/>
      </w:pPr>
      <w:hyperlink r:id="rId8">
        <w:r w:rsidDel="00000000" w:rsidR="00000000" w:rsidRPr="00000000">
          <w:rPr>
            <w:color w:val="1155cc"/>
            <w:u w:val="single"/>
            <w:rtl w:val="0"/>
          </w:rPr>
          <w:t xml:space="preserve">https://www.mintic.gov.co/portal/715/w3-article-101254.html</w:t>
        </w:r>
      </w:hyperlink>
      <w:r w:rsidDel="00000000" w:rsidR="00000000" w:rsidRPr="00000000">
        <w:rPr>
          <w:rtl w:val="0"/>
        </w:rPr>
      </w:r>
    </w:p>
    <w:p w:rsidR="00000000" w:rsidDel="00000000" w:rsidP="00000000" w:rsidRDefault="00000000" w:rsidRPr="00000000" w14:paraId="0000001F">
      <w:pPr>
        <w:spacing w:line="360" w:lineRule="auto"/>
        <w:jc w:val="both"/>
        <w:rPr>
          <w:b w:val="1"/>
          <w:bCs w:val="1"/>
        </w:rPr>
      </w:pPr>
      <w:r w:rsidDel="00000000" w:rsidR="00000000" w:rsidRPr="00000000">
        <w:rPr>
          <w:b w:val="1"/>
          <w:bCs w:val="1"/>
          <w:rtl w:val="0"/>
        </w:rPr>
        <w:t xml:space="preserve">Los sistemas de punto de venta y control de ventas para microempresas.</w:t>
      </w:r>
    </w:p>
    <w:p w:rsidR="00000000" w:rsidDel="00000000" w:rsidP="00000000" w:rsidRDefault="00000000" w:rsidRPr="00000000" w14:paraId="00000020">
      <w:pPr>
        <w:spacing w:line="360" w:lineRule="auto"/>
        <w:rPr>
          <w:b w:val="1"/>
          <w:bCs w:val="1"/>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t xml:space="preserve">Los sistemas de punto de venta (POS) han evolucionado significativamente en los últimos años, pasando de ser soluciones costosas y complejas —reservadas para grandes empresas— a herramientas accesibles para pequeños negocios. Sin embargo, muchas de estas soluciones presentan limitaciones para negocios con características muy específicas como la Cigarrería Nuestra Tierrita: requieren conexión permanente a internet, implican una curva de aprendizaje elevada para propietarios sin formación tecnológica, o incluyen funcionalidades innecesarias que encarecen el producto. Un estudio de la Universidad Nacional de Colombia (2021) señala que el 74% de los pequeños comerciantes que adquirieron un software de gestión lo abandonaron en los primeros seis meses por dificultades de uso o por no adaptarse a su flujo de trabajo real. Esto evidencia la necesidad de desarrollar soluciones personalizadas que partan del análisis real del negocio, sus procesos y las capacidades del usuario. Para la Cigarrería Nuestra Tierrita, una solución que permita registrar ventas, controlar el inventario de productos de alta rotación (cigarrillos, dulces, bebidas, artículos de papelería), gestionar proveedores frecuentes y generar reportes básicos, representaría una mejora sustancial en la operación diaria. La facturación electrónica, obligatoria en Colombia desde 2022, representa además un incentivo adicional para la adopción de herramientas digitales en establecimientos como este (DIAN, 2022).</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after="240" w:line="360" w:lineRule="auto"/>
        <w:rPr/>
      </w:pPr>
      <w:hyperlink r:id="rId9">
        <w:r w:rsidDel="00000000" w:rsidR="00000000" w:rsidRPr="00000000">
          <w:rPr>
            <w:color w:val="1155cc"/>
            <w:u w:val="single"/>
            <w:rtl w:val="0"/>
          </w:rPr>
          <w:t xml:space="preserve">https://www.dian.gov.co/impuestos/factura-electronica</w:t>
        </w:r>
      </w:hyperlink>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an.gov.co/impuestos/factura-electronic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incomercio.gov.co/programas-de-formalizacion-empresarial" TargetMode="External"/><Relationship Id="rId8" Type="http://schemas.openxmlformats.org/officeDocument/2006/relationships/hyperlink" Target="https://www.mintic.gov.co/portal/715/w3-article-10125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y/prQZmn5ko+dKuxJPN1v/xZIA==">CgMxLjA4AHIhMXBSRHM4a0hJSDVXQXBiX1QzQUpEUW9NbXNOYmMzSXVa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