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A5490"/>
          <w:sz w:val="56"/>
          <w:szCs w:val="56"/>
        </w:rPr>
        <w:t xml:space="preserve">Sous</w:t>
      </w:r>
    </w:p>
    <w:p>
      <w:pPr>
        <w:spacing w:after="200"/>
        <w:jc w:val="center"/>
      </w:pPr>
      <w:r>
        <w:rPr>
          <w:rFonts w:ascii="Arial" w:cs="Arial" w:eastAsia="Arial" w:hAnsi="Arial"/>
          <w:i/>
          <w:iCs/>
          <w:color w:val="555555"/>
          <w:sz w:val="24"/>
          <w:szCs w:val="24"/>
        </w:rPr>
        <w:t xml:space="preserve">Topological Cultural Nutrition Intelligence for Minority Diabetic Care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F0F5F9" w:val="clear"/>
            <w:tcMar>
              <w:top w:type="dxa" w:w="100"/>
              <w:left w:type="dxa" w:w="140"/>
              <w:bottom w:type="dxa" w:w="100"/>
              <w:right w:type="dxa" w:w="140"/>
            </w:tcMar>
            <w:vAlign w:val="top"/>
          </w:tcPr>
          <w:p>
            <w:pPr>
              <w:spacing w:after="40" w:before="0" w:line="280"/>
              <w:jc w:val="left"/>
            </w:pPr>
            <w:r>
              <w:rPr>
                <w:rFonts w:ascii="Arial" w:cs="Arial" w:eastAsia="Arial" w:hAnsi="Arial"/>
                <w:b/>
                <w:bCs/>
                <w:i w:val="false"/>
                <w:iCs w:val="false"/>
                <w:color w:val="1A1A1A"/>
                <w:sz w:val="22"/>
                <w:szCs w:val="22"/>
              </w:rPr>
              <w:t xml:space="preserve">Applicant</w:t>
            </w:r>
          </w:p>
        </w:tc>
        <w:tc>
          <w:tcPr>
            <w:tcW w:type="dxa" w:w="6360"/>
            <w:tcBorders>
              <w:top w:val="single" w:color="BFBFBF" w:sz="4"/>
              <w:left w:val="single" w:color="BFBFBF" w:sz="4"/>
              <w:bottom w:val="single" w:color="BFBFBF" w:sz="4"/>
              <w:right w:val="single" w:color="BFBFBF" w:sz="4"/>
            </w:tcBorders>
            <w:shd w:fill="F0F5F9" w:val="clear"/>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Stefan Thottunkal, MD Candidate</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before="0" w:line="280"/>
              <w:jc w:val="left"/>
            </w:pPr>
            <w:r>
              <w:rPr>
                <w:rFonts w:ascii="Arial" w:cs="Arial" w:eastAsia="Arial" w:hAnsi="Arial"/>
                <w:b/>
                <w:bCs/>
                <w:i w:val="false"/>
                <w:iCs w:val="false"/>
                <w:color w:val="1A1A1A"/>
                <w:sz w:val="22"/>
                <w:szCs w:val="22"/>
              </w:rPr>
              <w:t xml:space="preserve">Institutional Affiliation</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NOURISH — Stanford Occupational Health / PCPH, Department of Medicine, Stanford University</w:t>
            </w:r>
          </w:p>
        </w:tc>
      </w:tr>
      <w:tr>
        <w:tc>
          <w:tcPr>
            <w:tcW w:type="dxa" w:w="3000"/>
            <w:tcBorders>
              <w:top w:val="single" w:color="BFBFBF" w:sz="4"/>
              <w:left w:val="single" w:color="BFBFBF" w:sz="4"/>
              <w:bottom w:val="single" w:color="BFBFBF" w:sz="4"/>
              <w:right w:val="single" w:color="BFBFBF" w:sz="4"/>
            </w:tcBorders>
            <w:shd w:fill="F0F5F9" w:val="clear"/>
            <w:tcMar>
              <w:top w:type="dxa" w:w="100"/>
              <w:left w:type="dxa" w:w="140"/>
              <w:bottom w:type="dxa" w:w="100"/>
              <w:right w:type="dxa" w:w="140"/>
            </w:tcMar>
            <w:vAlign w:val="top"/>
          </w:tcPr>
          <w:p>
            <w:pPr>
              <w:spacing w:after="40" w:before="0" w:line="280"/>
              <w:jc w:val="left"/>
            </w:pPr>
            <w:r>
              <w:rPr>
                <w:rFonts w:ascii="Arial" w:cs="Arial" w:eastAsia="Arial" w:hAnsi="Arial"/>
                <w:b/>
                <w:bCs/>
                <w:i w:val="false"/>
                <w:iCs w:val="false"/>
                <w:color w:val="1A1A1A"/>
                <w:sz w:val="22"/>
                <w:szCs w:val="22"/>
              </w:rPr>
              <w:t xml:space="preserve">Grant Program</w:t>
            </w:r>
          </w:p>
        </w:tc>
        <w:tc>
          <w:tcPr>
            <w:tcW w:type="dxa" w:w="6360"/>
            <w:tcBorders>
              <w:top w:val="single" w:color="BFBFBF" w:sz="4"/>
              <w:left w:val="single" w:color="BFBFBF" w:sz="4"/>
              <w:bottom w:val="single" w:color="BFBFBF" w:sz="4"/>
              <w:right w:val="single" w:color="BFBFBF" w:sz="4"/>
            </w:tcBorders>
            <w:shd w:fill="F0F5F9" w:val="clear"/>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Google.org Impact Challenge: AI for Science 2026</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before="0" w:line="280"/>
              <w:jc w:val="left"/>
            </w:pPr>
            <w:r>
              <w:rPr>
                <w:rFonts w:ascii="Arial" w:cs="Arial" w:eastAsia="Arial" w:hAnsi="Arial"/>
                <w:b/>
                <w:bCs/>
                <w:i w:val="false"/>
                <w:iCs w:val="false"/>
                <w:color w:val="1A1A1A"/>
                <w:sz w:val="22"/>
                <w:szCs w:val="22"/>
              </w:rPr>
              <w:t xml:space="preserve">Category</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AI for Health &amp; Life Sciences</w:t>
            </w:r>
          </w:p>
        </w:tc>
      </w:tr>
      <w:tr>
        <w:tc>
          <w:tcPr>
            <w:tcW w:type="dxa" w:w="3000"/>
            <w:tcBorders>
              <w:top w:val="single" w:color="BFBFBF" w:sz="4"/>
              <w:left w:val="single" w:color="BFBFBF" w:sz="4"/>
              <w:bottom w:val="single" w:color="BFBFBF" w:sz="4"/>
              <w:right w:val="single" w:color="BFBFBF" w:sz="4"/>
            </w:tcBorders>
            <w:shd w:fill="F0F5F9" w:val="clear"/>
            <w:tcMar>
              <w:top w:type="dxa" w:w="100"/>
              <w:left w:type="dxa" w:w="140"/>
              <w:bottom w:type="dxa" w:w="100"/>
              <w:right w:type="dxa" w:w="140"/>
            </w:tcMar>
            <w:vAlign w:val="top"/>
          </w:tcPr>
          <w:p>
            <w:pPr>
              <w:spacing w:after="40" w:before="0" w:line="280"/>
              <w:jc w:val="left"/>
            </w:pPr>
            <w:r>
              <w:rPr>
                <w:rFonts w:ascii="Arial" w:cs="Arial" w:eastAsia="Arial" w:hAnsi="Arial"/>
                <w:b/>
                <w:bCs/>
                <w:i w:val="false"/>
                <w:iCs w:val="false"/>
                <w:color w:val="1A1A1A"/>
                <w:sz w:val="22"/>
                <w:szCs w:val="22"/>
              </w:rPr>
              <w:t xml:space="preserve">Amount Requested</w:t>
            </w:r>
          </w:p>
        </w:tc>
        <w:tc>
          <w:tcPr>
            <w:tcW w:type="dxa" w:w="6360"/>
            <w:tcBorders>
              <w:top w:val="single" w:color="BFBFBF" w:sz="4"/>
              <w:left w:val="single" w:color="BFBFBF" w:sz="4"/>
              <w:bottom w:val="single" w:color="BFBFBF" w:sz="4"/>
              <w:right w:val="single" w:color="BFBFBF" w:sz="4"/>
            </w:tcBorders>
            <w:shd w:fill="F0F5F9" w:val="clear"/>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$500,000 + Google Cloud credits + Accelerator participation</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before="0" w:line="280"/>
              <w:jc w:val="left"/>
            </w:pPr>
            <w:r>
              <w:rPr>
                <w:rFonts w:ascii="Arial" w:cs="Arial" w:eastAsia="Arial" w:hAnsi="Arial"/>
                <w:b/>
                <w:bCs/>
                <w:i w:val="false"/>
                <w:iCs w:val="false"/>
                <w:color w:val="1A1A1A"/>
                <w:sz w:val="22"/>
                <w:szCs w:val="22"/>
              </w:rPr>
              <w:t xml:space="preserve">Deadline</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April 17, 2026</w:t>
            </w:r>
          </w:p>
        </w:tc>
      </w:tr>
      <w:tr>
        <w:tc>
          <w:tcPr>
            <w:tcW w:type="dxa" w:w="3000"/>
            <w:tcBorders>
              <w:top w:val="single" w:color="BFBFBF" w:sz="4"/>
              <w:left w:val="single" w:color="BFBFBF" w:sz="4"/>
              <w:bottom w:val="single" w:color="BFBFBF" w:sz="4"/>
              <w:right w:val="single" w:color="BFBFBF" w:sz="4"/>
            </w:tcBorders>
            <w:shd w:fill="F0F5F9" w:val="clear"/>
            <w:tcMar>
              <w:top w:type="dxa" w:w="100"/>
              <w:left w:type="dxa" w:w="140"/>
              <w:bottom w:type="dxa" w:w="100"/>
              <w:right w:type="dxa" w:w="140"/>
            </w:tcMar>
            <w:vAlign w:val="top"/>
          </w:tcPr>
          <w:p>
            <w:pPr>
              <w:spacing w:after="40" w:before="0" w:line="280"/>
              <w:jc w:val="left"/>
            </w:pPr>
            <w:r>
              <w:rPr>
                <w:rFonts w:ascii="Arial" w:cs="Arial" w:eastAsia="Arial" w:hAnsi="Arial"/>
                <w:b/>
                <w:bCs/>
                <w:i w:val="false"/>
                <w:iCs w:val="false"/>
                <w:color w:val="1A1A1A"/>
                <w:sz w:val="22"/>
                <w:szCs w:val="22"/>
              </w:rPr>
              <w:t xml:space="preserve">Submission Date</w:t>
            </w:r>
          </w:p>
        </w:tc>
        <w:tc>
          <w:tcPr>
            <w:tcW w:type="dxa" w:w="6360"/>
            <w:tcBorders>
              <w:top w:val="single" w:color="BFBFBF" w:sz="4"/>
              <w:left w:val="single" w:color="BFBFBF" w:sz="4"/>
              <w:bottom w:val="single" w:color="BFBFBF" w:sz="4"/>
              <w:right w:val="single" w:color="BFBFBF" w:sz="4"/>
            </w:tcBorders>
            <w:shd w:fill="F0F5F9" w:val="clear"/>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______________________</w:t>
            </w:r>
          </w:p>
        </w:tc>
      </w:tr>
    </w:tbl>
    <w:p>
      <w:r>
        <w:br w:type="page"/>
      </w:r>
    </w:p>
    <w:p>
      <w:pPr>
        <w:pStyle w:val="Heading1"/>
        <w:spacing w:after="160" w:before="360"/>
      </w:pPr>
      <w:r>
        <w:rPr>
          <w:rFonts w:ascii="Arial" w:cs="Arial" w:eastAsia="Arial" w:hAnsi="Arial"/>
          <w:b/>
          <w:bCs/>
          <w:color w:val="1A5490"/>
          <w:sz w:val="32"/>
          <w:szCs w:val="32"/>
        </w:rPr>
        <w:t xml:space="preserve">1. Project Narrative</w:t>
      </w:r>
    </w:p>
    <w:p>
      <w:pPr>
        <w:pStyle w:val="Heading2"/>
        <w:spacing w:after="120" w:before="240"/>
      </w:pPr>
      <w:r>
        <w:rPr>
          <w:rFonts w:ascii="Arial" w:cs="Arial" w:eastAsia="Arial" w:hAnsi="Arial"/>
          <w:b/>
          <w:bCs/>
          <w:color w:val="1A1A1A"/>
          <w:sz w:val="26"/>
          <w:szCs w:val="26"/>
        </w:rPr>
        <w:t xml:space="preserve">The Problem</w:t>
      </w:r>
    </w:p>
    <w:p>
      <w:pPr>
        <w:spacing w:after="120" w:before="0" w:line="280"/>
        <w:jc w:val="left"/>
      </w:pPr>
      <w:r>
        <w:rPr>
          <w:rFonts w:ascii="Arial" w:cs="Arial" w:eastAsia="Arial" w:hAnsi="Arial"/>
          <w:b w:val="false"/>
          <w:bCs w:val="false"/>
          <w:i w:val="false"/>
          <w:iCs w:val="false"/>
          <w:color w:val="1A1A1A"/>
          <w:sz w:val="22"/>
          <w:szCs w:val="22"/>
        </w:rPr>
        <w:t xml:space="preserve">One-third of U.S. adults have obesity. Type 2 diabetes (T2D) is rising fastest among </w:t>
      </w:r>
      <w:r>
        <w:rPr>
          <w:rFonts w:ascii="Arial" w:cs="Arial" w:eastAsia="Arial" w:hAnsi="Arial"/>
          <w:b/>
          <w:bCs/>
          <w:i w:val="false"/>
          <w:iCs w:val="false"/>
          <w:color w:val="1A1A1A"/>
          <w:sz w:val="22"/>
          <w:szCs w:val="22"/>
        </w:rPr>
        <w:t xml:space="preserve">Asian, Indian, Filipino, Latino, and other minority populations</w:t>
      </w:r>
      <w:r>
        <w:rPr>
          <w:rFonts w:ascii="Arial" w:cs="Arial" w:eastAsia="Arial" w:hAnsi="Arial"/>
          <w:b w:val="false"/>
          <w:bCs w:val="false"/>
          <w:i w:val="false"/>
          <w:iCs w:val="false"/>
          <w:color w:val="1A1A1A"/>
          <w:sz w:val="22"/>
          <w:szCs w:val="22"/>
        </w:rPr>
        <w:t xml:space="preserve"> — groups who manifest metabolic disease at </w:t>
      </w:r>
      <w:r>
        <w:rPr>
          <w:rFonts w:ascii="Arial" w:cs="Arial" w:eastAsia="Arial" w:hAnsi="Arial"/>
          <w:b w:val="false"/>
          <w:bCs w:val="false"/>
          <w:i/>
          <w:iCs/>
          <w:color w:val="1A1A1A"/>
          <w:sz w:val="22"/>
          <w:szCs w:val="22"/>
        </w:rPr>
        <w:t xml:space="preserve">normal BMI</w:t>
      </w:r>
      <w:r>
        <w:rPr>
          <w:rFonts w:ascii="Arial" w:cs="Arial" w:eastAsia="Arial" w:hAnsi="Arial"/>
          <w:b w:val="false"/>
          <w:bCs w:val="false"/>
          <w:i w:val="false"/>
          <w:iCs w:val="false"/>
          <w:color w:val="1A1A1A"/>
          <w:sz w:val="22"/>
          <w:szCs w:val="22"/>
        </w:rPr>
        <w:t xml:space="preserve">, an “invisible” phenotype that standard screening misses. The dominant clinical response — dietary counseling that abandons culturally central foods (rice, roti, dal, tortillas) for white-American-validated alternatives (quinoa, kale, oats) — fails twice: </w:t>
      </w:r>
      <w:r>
        <w:rPr>
          <w:rFonts w:ascii="Arial" w:cs="Arial" w:eastAsia="Arial" w:hAnsi="Arial"/>
          <w:b/>
          <w:bCs/>
          <w:i w:val="false"/>
          <w:iCs w:val="false"/>
          <w:color w:val="1A1A1A"/>
          <w:sz w:val="22"/>
          <w:szCs w:val="22"/>
        </w:rPr>
        <w:t xml:space="preserve">short-term non-adherence</w:t>
      </w:r>
      <w:r>
        <w:rPr>
          <w:rFonts w:ascii="Arial" w:cs="Arial" w:eastAsia="Arial" w:hAnsi="Arial"/>
          <w:b w:val="false"/>
          <w:bCs w:val="false"/>
          <w:i w:val="false"/>
          <w:iCs w:val="false"/>
          <w:color w:val="1A1A1A"/>
          <w:sz w:val="22"/>
          <w:szCs w:val="22"/>
        </w:rPr>
        <w:t xml:space="preserve"> (patients revert within weeks) and </w:t>
      </w:r>
      <w:r>
        <w:rPr>
          <w:rFonts w:ascii="Arial" w:cs="Arial" w:eastAsia="Arial" w:hAnsi="Arial"/>
          <w:b/>
          <w:bCs/>
          <w:i w:val="false"/>
          <w:iCs w:val="false"/>
          <w:color w:val="1A1A1A"/>
          <w:sz w:val="22"/>
          <w:szCs w:val="22"/>
        </w:rPr>
        <w:t xml:space="preserve">long-term identity loss</w:t>
      </w:r>
      <w:r>
        <w:rPr>
          <w:rFonts w:ascii="Arial" w:cs="Arial" w:eastAsia="Arial" w:hAnsi="Arial"/>
          <w:b w:val="false"/>
          <w:bCs w:val="false"/>
          <w:i w:val="false"/>
          <w:iCs w:val="false"/>
          <w:color w:val="1A1A1A"/>
          <w:sz w:val="22"/>
          <w:szCs w:val="22"/>
        </w:rPr>
        <w:t xml:space="preserve"> (rejecting one’s cultural food identity degrades both compliance and psychological wellbeing). The underlying scientific gap is that the molecular flavor network of traditional cuisines has never been characterized at the scale needed to generate culturally-authentic yet glycemically-optimized meal plans. FlavorDB catalogs 25,000+ flavor molecules in ~950 ingredients; ICMR-NIN and USDA map nutritional composition; continuous glucose monitoring (CGM) reveals individual glycemic response — but </w:t>
      </w:r>
      <w:r>
        <w:rPr>
          <w:rFonts w:ascii="Arial" w:cs="Arial" w:eastAsia="Arial" w:hAnsi="Arial"/>
          <w:b/>
          <w:bCs/>
          <w:i w:val="false"/>
          <w:iCs w:val="false"/>
          <w:color w:val="1A1A1A"/>
          <w:sz w:val="22"/>
          <w:szCs w:val="22"/>
        </w:rPr>
        <w:t xml:space="preserve">no system integrates these through topological data analysis (TDA) to produce personalized, culturally-conserved, glucose-predictive meal recommendations.</w:t>
      </w:r>
    </w:p>
    <w:p>
      <w:pPr>
        <w:pStyle w:val="Heading2"/>
        <w:spacing w:after="120" w:before="240"/>
      </w:pPr>
      <w:r>
        <w:rPr>
          <w:rFonts w:ascii="Arial" w:cs="Arial" w:eastAsia="Arial" w:hAnsi="Arial"/>
          <w:b/>
          <w:bCs/>
          <w:color w:val="1A1A1A"/>
          <w:sz w:val="26"/>
          <w:szCs w:val="26"/>
        </w:rPr>
        <w:t xml:space="preserve">The Science</w:t>
      </w:r>
    </w:p>
    <w:p>
      <w:pPr>
        <w:spacing w:after="120" w:before="0" w:line="280"/>
        <w:jc w:val="left"/>
      </w:pPr>
      <w:r>
        <w:rPr>
          <w:rFonts w:ascii="Arial" w:cs="Arial" w:eastAsia="Arial" w:hAnsi="Arial"/>
          <w:b w:val="false"/>
          <w:bCs w:val="false"/>
          <w:i w:val="false"/>
          <w:iCs w:val="false"/>
          <w:color w:val="1A1A1A"/>
          <w:sz w:val="22"/>
          <w:szCs w:val="22"/>
        </w:rPr>
        <w:t xml:space="preserve">Sous builds a topological flavor-nutrient-glycemic atlas that unifies three data modalities most nutrition-AI systems treat in isolation:</w:t>
      </w:r>
    </w:p>
    <w:p>
      <w:pPr>
        <w:pStyle w:val="ListParagraph"/>
        <w:numPr>
          <w:ilvl w:val="0"/>
          <w:numId w:val="2"/>
        </w:numPr>
        <w:spacing w:after="80" w:line="280"/>
      </w:pPr>
      <w:r>
        <w:rPr>
          <w:rFonts w:ascii="Arial" w:cs="Arial" w:eastAsia="Arial" w:hAnsi="Arial"/>
          <w:b/>
          <w:bCs/>
          <w:i w:val="false"/>
          <w:iCs w:val="false"/>
          <w:color w:val="1A1A1A"/>
          <w:sz w:val="22"/>
          <w:szCs w:val="22"/>
        </w:rPr>
        <w:t xml:space="preserve">Flavor-molecule networks</w:t>
      </w:r>
      <w:r>
        <w:rPr>
          <w:rFonts w:ascii="Arial" w:cs="Arial" w:eastAsia="Arial" w:hAnsi="Arial"/>
          <w:b w:val="false"/>
          <w:bCs w:val="false"/>
          <w:i w:val="false"/>
          <w:iCs w:val="false"/>
          <w:color w:val="1A1A1A"/>
          <w:sz w:val="22"/>
          <w:szCs w:val="22"/>
        </w:rPr>
        <w:t xml:space="preserve"> (FlavorDB, FooDB, volatile compound databases) — the chemical grammar of why specific ingredient pairings taste “correct” within a cuisine.</w:t>
      </w:r>
    </w:p>
    <w:p>
      <w:pPr>
        <w:pStyle w:val="ListParagraph"/>
        <w:numPr>
          <w:ilvl w:val="0"/>
          <w:numId w:val="2"/>
        </w:numPr>
        <w:spacing w:after="80" w:line="280"/>
      </w:pPr>
      <w:r>
        <w:rPr>
          <w:rFonts w:ascii="Arial" w:cs="Arial" w:eastAsia="Arial" w:hAnsi="Arial"/>
          <w:b/>
          <w:bCs/>
          <w:i w:val="false"/>
          <w:iCs w:val="false"/>
          <w:color w:val="1A1A1A"/>
          <w:sz w:val="22"/>
          <w:szCs w:val="22"/>
        </w:rPr>
        <w:t xml:space="preserve">Nutritional composition</w:t>
      </w:r>
      <w:r>
        <w:rPr>
          <w:rFonts w:ascii="Arial" w:cs="Arial" w:eastAsia="Arial" w:hAnsi="Arial"/>
          <w:b w:val="false"/>
          <w:bCs w:val="false"/>
          <w:i w:val="false"/>
          <w:iCs w:val="false"/>
          <w:color w:val="1A1A1A"/>
          <w:sz w:val="22"/>
          <w:szCs w:val="22"/>
        </w:rPr>
        <w:t xml:space="preserve"> (USDA SR, ICMR-NIN Indian Food Composition Tables, Filipino FNRI databases) — macro/micronutrient profiles at ingredient granularity.</w:t>
      </w:r>
    </w:p>
    <w:p>
      <w:pPr>
        <w:pStyle w:val="ListParagraph"/>
        <w:numPr>
          <w:ilvl w:val="0"/>
          <w:numId w:val="2"/>
        </w:numPr>
        <w:spacing w:after="80" w:line="280"/>
      </w:pPr>
      <w:r>
        <w:rPr>
          <w:rFonts w:ascii="Arial" w:cs="Arial" w:eastAsia="Arial" w:hAnsi="Arial"/>
          <w:b/>
          <w:bCs/>
          <w:i w:val="false"/>
          <w:iCs w:val="false"/>
          <w:color w:val="1A1A1A"/>
          <w:sz w:val="22"/>
          <w:szCs w:val="22"/>
        </w:rPr>
        <w:t xml:space="preserve">Personalized glycemic response</w:t>
      </w:r>
      <w:r>
        <w:rPr>
          <w:rFonts w:ascii="Arial" w:cs="Arial" w:eastAsia="Arial" w:hAnsi="Arial"/>
          <w:b w:val="false"/>
          <w:bCs w:val="false"/>
          <w:i w:val="false"/>
          <w:iCs w:val="false"/>
          <w:color w:val="1A1A1A"/>
          <w:sz w:val="22"/>
          <w:szCs w:val="22"/>
        </w:rPr>
        <w:t xml:space="preserve"> (continuous glucose monitoring data from NOURISH’s ongoing CGM Pilot in 30 Indian + Filipino T2D adults) — individual, real-world glucose curves by food, preparation method, and timing.</w:t>
      </w:r>
    </w:p>
    <w:p>
      <w:pPr>
        <w:spacing w:after="120" w:before="0" w:line="280"/>
        <w:jc w:val="left"/>
      </w:pPr>
      <w:r>
        <w:rPr>
          <w:rFonts w:ascii="Arial" w:cs="Arial" w:eastAsia="Arial" w:hAnsi="Arial"/>
          <w:b w:val="false"/>
          <w:bCs w:val="false"/>
          <w:i w:val="false"/>
          <w:iCs w:val="false"/>
          <w:color w:val="1A1A1A"/>
          <w:sz w:val="22"/>
          <w:szCs w:val="22"/>
        </w:rPr>
        <w:t xml:space="preserve">Using </w:t>
      </w:r>
      <w:r>
        <w:rPr>
          <w:rFonts w:ascii="Arial" w:cs="Arial" w:eastAsia="Arial" w:hAnsi="Arial"/>
          <w:b/>
          <w:bCs/>
          <w:i w:val="false"/>
          <w:iCs w:val="false"/>
          <w:color w:val="1A1A1A"/>
          <w:sz w:val="22"/>
          <w:szCs w:val="22"/>
        </w:rPr>
        <w:t xml:space="preserve">Topological Data Analysis (Mapper algorithm, persistent homology)</w:t>
      </w:r>
      <w:r>
        <w:rPr>
          <w:rFonts w:ascii="Arial" w:cs="Arial" w:eastAsia="Arial" w:hAnsi="Arial"/>
          <w:b w:val="false"/>
          <w:bCs w:val="false"/>
          <w:i w:val="false"/>
          <w:iCs w:val="false"/>
          <w:color w:val="1A1A1A"/>
          <w:sz w:val="22"/>
          <w:szCs w:val="22"/>
        </w:rPr>
        <w:t xml:space="preserve">, we construct high-dimensional manifolds where traditional dishes occupy “flavor-nutrient neighborhoods.” Within each neighborhood, TDA identifies </w:t>
      </w:r>
      <w:r>
        <w:rPr>
          <w:rFonts w:ascii="Arial" w:cs="Arial" w:eastAsia="Arial" w:hAnsi="Arial"/>
          <w:b/>
          <w:bCs/>
          <w:i/>
          <w:iCs/>
          <w:color w:val="1A1A1A"/>
          <w:sz w:val="22"/>
          <w:szCs w:val="22"/>
        </w:rPr>
        <w:t xml:space="preserve">isoflavorous substitutions</w:t>
      </w:r>
      <w:r>
        <w:rPr>
          <w:rFonts w:ascii="Arial" w:cs="Arial" w:eastAsia="Arial" w:hAnsi="Arial"/>
          <w:b w:val="false"/>
          <w:bCs w:val="false"/>
          <w:i w:val="false"/>
          <w:iCs w:val="false"/>
          <w:color w:val="1A1A1A"/>
          <w:sz w:val="22"/>
          <w:szCs w:val="22"/>
        </w:rPr>
        <w:t xml:space="preserve"> — modifications that preserve the manifold position (taste/texture/cultural identity) while shifting the nutritional/glycemic coordinate (health outcome). This is fundamentally different from rule-based “replace white rice with quinoa” logic. It is the first system to </w:t>
      </w:r>
      <w:r>
        <w:rPr>
          <w:rFonts w:ascii="Arial" w:cs="Arial" w:eastAsia="Arial" w:hAnsi="Arial"/>
          <w:b/>
          <w:bCs/>
          <w:i w:val="false"/>
          <w:iCs w:val="false"/>
          <w:color w:val="1A1A1A"/>
          <w:sz w:val="22"/>
          <w:szCs w:val="22"/>
        </w:rPr>
        <w:t xml:space="preserve">mathematically formalize the NOURISH clinical insight that modification beats abstinence.</w:t>
      </w:r>
    </w:p>
    <w:p>
      <w:pPr>
        <w:spacing w:after="120" w:before="0" w:line="280"/>
        <w:jc w:val="left"/>
      </w:pPr>
      <w:r>
        <w:rPr>
          <w:rFonts w:ascii="Arial" w:cs="Arial" w:eastAsia="Arial" w:hAnsi="Arial"/>
          <w:b w:val="false"/>
          <w:bCs w:val="false"/>
          <w:i w:val="false"/>
          <w:iCs w:val="false"/>
          <w:color w:val="1A1A1A"/>
          <w:sz w:val="22"/>
          <w:szCs w:val="22"/>
        </w:rPr>
        <w:t xml:space="preserve">Outputs: (a) a </w:t>
      </w:r>
      <w:r>
        <w:rPr>
          <w:rFonts w:ascii="Arial" w:cs="Arial" w:eastAsia="Arial" w:hAnsi="Arial"/>
          <w:b/>
          <w:bCs/>
          <w:i w:val="false"/>
          <w:iCs w:val="false"/>
          <w:color w:val="1A1A1A"/>
          <w:sz w:val="22"/>
          <w:szCs w:val="22"/>
        </w:rPr>
        <w:t xml:space="preserve">foundational open dataset</w:t>
      </w:r>
      <w:r>
        <w:rPr>
          <w:rFonts w:ascii="Arial" w:cs="Arial" w:eastAsia="Arial" w:hAnsi="Arial"/>
          <w:b w:val="false"/>
          <w:bCs w:val="false"/>
          <w:i w:val="false"/>
          <w:iCs w:val="false"/>
          <w:color w:val="1A1A1A"/>
          <w:sz w:val="22"/>
          <w:szCs w:val="22"/>
        </w:rPr>
        <w:t xml:space="preserve"> — the first public topological flavor-nutrient-glycemic atlas for South Asian and East/Southeast Asian cuisines, released under CC-BY-SA; (b) </w:t>
      </w:r>
      <w:r>
        <w:rPr>
          <w:rFonts w:ascii="Arial" w:cs="Arial" w:eastAsia="Arial" w:hAnsi="Arial"/>
          <w:b/>
          <w:bCs/>
          <w:i w:val="false"/>
          <w:iCs w:val="false"/>
          <w:color w:val="1A1A1A"/>
          <w:sz w:val="22"/>
          <w:szCs w:val="22"/>
        </w:rPr>
        <w:t xml:space="preserve">open-weights models</w:t>
      </w:r>
      <w:r>
        <w:rPr>
          <w:rFonts w:ascii="Arial" w:cs="Arial" w:eastAsia="Arial" w:hAnsi="Arial"/>
          <w:b w:val="false"/>
          <w:bCs w:val="false"/>
          <w:i w:val="false"/>
          <w:iCs w:val="false"/>
          <w:color w:val="1A1A1A"/>
          <w:sz w:val="22"/>
          <w:szCs w:val="22"/>
        </w:rPr>
        <w:t xml:space="preserve"> trained on the atlas, released on Hugging Face for the research community; (c) a </w:t>
      </w:r>
      <w:r>
        <w:rPr>
          <w:rFonts w:ascii="Arial" w:cs="Arial" w:eastAsia="Arial" w:hAnsi="Arial"/>
          <w:b/>
          <w:bCs/>
          <w:i w:val="false"/>
          <w:iCs w:val="false"/>
          <w:color w:val="1A1A1A"/>
          <w:sz w:val="22"/>
          <w:szCs w:val="22"/>
        </w:rPr>
        <w:t xml:space="preserve">clinically validated meal-recommendation platform</w:t>
      </w:r>
      <w:r>
        <w:rPr>
          <w:rFonts w:ascii="Arial" w:cs="Arial" w:eastAsia="Arial" w:hAnsi="Arial"/>
          <w:b w:val="false"/>
          <w:bCs w:val="false"/>
          <w:i w:val="false"/>
          <w:iCs w:val="false"/>
          <w:color w:val="1A1A1A"/>
          <w:sz w:val="22"/>
          <w:szCs w:val="22"/>
        </w:rPr>
        <w:t xml:space="preserve"> deployable via the NOURISH Clinical Integration Portal (active design, 8-week MVP path) to any Asian American or South Asian diabetic patient at point of diagnosis.</w:t>
      </w:r>
    </w:p>
    <w:p>
      <w:pPr>
        <w:pStyle w:val="Heading2"/>
        <w:spacing w:after="120" w:before="240"/>
      </w:pPr>
      <w:r>
        <w:rPr>
          <w:rFonts w:ascii="Arial" w:cs="Arial" w:eastAsia="Arial" w:hAnsi="Arial"/>
          <w:b/>
          <w:bCs/>
          <w:color w:val="1A1A1A"/>
          <w:sz w:val="26"/>
          <w:szCs w:val="26"/>
        </w:rPr>
        <w:t xml:space="preserve">Why Now</w:t>
      </w:r>
    </w:p>
    <w:p>
      <w:pPr>
        <w:spacing w:after="120" w:before="0" w:line="280"/>
        <w:jc w:val="left"/>
      </w:pPr>
      <w:r>
        <w:rPr>
          <w:rFonts w:ascii="Arial" w:cs="Arial" w:eastAsia="Arial" w:hAnsi="Arial"/>
          <w:b w:val="false"/>
          <w:bCs w:val="false"/>
          <w:i w:val="false"/>
          <w:iCs w:val="false"/>
          <w:color w:val="1A1A1A"/>
          <w:sz w:val="22"/>
          <w:szCs w:val="22"/>
        </w:rPr>
        <w:t xml:space="preserve">Three enabling conditions converged in the last 18 months: (1) FlavorDB and adjacent molecular databases reached critical mass (~25K molecules, ~950 ingredients); (2) CGM costs dropped below $100/week, enabling real-world glucose capture at research scale; (3) TDA libraries (</w:t>
      </w:r>
      <w:r>
        <w:rPr>
          <w:rFonts w:ascii="Arial" w:cs="Arial" w:eastAsia="Arial" w:hAnsi="Arial"/>
          <w:b w:val="false"/>
          <w:bCs w:val="false"/>
          <w:i/>
          <w:iCs/>
          <w:color w:val="1A1A1A"/>
          <w:sz w:val="22"/>
          <w:szCs w:val="22"/>
        </w:rPr>
        <w:t xml:space="preserve">giotto-tda, Kepler-Mapper, GUDHI</w:t>
      </w:r>
      <w:r>
        <w:rPr>
          <w:rFonts w:ascii="Arial" w:cs="Arial" w:eastAsia="Arial" w:hAnsi="Arial"/>
          <w:b w:val="false"/>
          <w:bCs w:val="false"/>
          <w:i w:val="false"/>
          <w:iCs w:val="false"/>
          <w:color w:val="1A1A1A"/>
          <w:sz w:val="22"/>
          <w:szCs w:val="22"/>
        </w:rPr>
        <w:t xml:space="preserve">) matured on GPU-accelerated infrastructure available through Google Cloud Vertex AI. NOURISH’s own recruiting CGM Pilot (funded by Stanford Diabetes Research Center and Stanford CARE post-NIH funding cuts) provides the primary labeled glucose-response data. </w:t>
      </w:r>
      <w:r>
        <w:rPr>
          <w:rFonts w:ascii="Arial" w:cs="Arial" w:eastAsia="Arial" w:hAnsi="Arial"/>
          <w:b/>
          <w:bCs/>
          <w:i w:val="false"/>
          <w:iCs w:val="false"/>
          <w:color w:val="1A1A1A"/>
          <w:sz w:val="22"/>
          <w:szCs w:val="22"/>
        </w:rPr>
        <w:t xml:space="preserve">No other group combines these three modalities with TDA.</w:t>
      </w:r>
      <w:r>
        <w:rPr>
          <w:rFonts w:ascii="Arial" w:cs="Arial" w:eastAsia="Arial" w:hAnsi="Arial"/>
          <w:b w:val="false"/>
          <w:bCs w:val="false"/>
          <w:i w:val="false"/>
          <w:iCs w:val="false"/>
          <w:color w:val="1A1A1A"/>
          <w:sz w:val="22"/>
          <w:szCs w:val="22"/>
        </w:rPr>
        <w:t xml:space="preserve"> The closest competitors (Twin Health, Virta Health, Nutrisense) use black-box recommendation engines without cultural food science foundations, open data releases, or TDA methodology.</w:t>
      </w:r>
    </w:p>
    <w:p>
      <w:pPr>
        <w:pStyle w:val="Heading2"/>
        <w:spacing w:after="120" w:before="240"/>
      </w:pPr>
      <w:r>
        <w:rPr>
          <w:rFonts w:ascii="Arial" w:cs="Arial" w:eastAsia="Arial" w:hAnsi="Arial"/>
          <w:b/>
          <w:bCs/>
          <w:color w:val="1A1A1A"/>
          <w:sz w:val="26"/>
          <w:szCs w:val="26"/>
        </w:rPr>
        <w:t xml:space="preserve">Track Record</w:t>
      </w:r>
    </w:p>
    <w:p>
      <w:pPr>
        <w:spacing w:after="120" w:before="0" w:line="280"/>
        <w:jc w:val="left"/>
      </w:pPr>
      <w:r>
        <w:rPr>
          <w:rFonts w:ascii="Arial" w:cs="Arial" w:eastAsia="Arial" w:hAnsi="Arial"/>
          <w:b w:val="false"/>
          <w:bCs w:val="false"/>
          <w:i w:val="false"/>
          <w:iCs w:val="false"/>
          <w:color w:val="1A1A1A"/>
          <w:sz w:val="22"/>
          <w:szCs w:val="22"/>
        </w:rPr>
        <w:t xml:space="preserve">NOURISH is a Stanford-housed research organization founded February 2021 by Dr. Minal Moharir and Dr. Latha Palaniappan. Over four years it has: secured </w:t>
      </w:r>
      <w:r>
        <w:rPr>
          <w:rFonts w:ascii="Arial" w:cs="Arial" w:eastAsia="Arial" w:hAnsi="Arial"/>
          <w:b/>
          <w:bCs/>
          <w:i w:val="false"/>
          <w:iCs w:val="false"/>
          <w:color w:val="1A1A1A"/>
          <w:sz w:val="22"/>
          <w:szCs w:val="22"/>
        </w:rPr>
        <w:t xml:space="preserve">$160K+ in institutional funding</w:t>
      </w:r>
      <w:r>
        <w:rPr>
          <w:rFonts w:ascii="Arial" w:cs="Arial" w:eastAsia="Arial" w:hAnsi="Arial"/>
          <w:b w:val="false"/>
          <w:bCs w:val="false"/>
          <w:i w:val="false"/>
          <w:iCs w:val="false"/>
          <w:color w:val="1A1A1A"/>
          <w:sz w:val="22"/>
          <w:szCs w:val="22"/>
        </w:rPr>
        <w:t xml:space="preserve"> (Stanford CARE $100K; PCPH Pilot $5K; PBDI Pilot $5K; Stanford Diabetes Research Center $50K; Stanford CARE renewal); completed a </w:t>
      </w:r>
      <w:r>
        <w:rPr>
          <w:rFonts w:ascii="Arial" w:cs="Arial" w:eastAsia="Arial" w:hAnsi="Arial"/>
          <w:b/>
          <w:bCs/>
          <w:i w:val="false"/>
          <w:iCs w:val="false"/>
          <w:color w:val="1A1A1A"/>
          <w:sz w:val="22"/>
          <w:szCs w:val="22"/>
        </w:rPr>
        <w:t xml:space="preserve">Patient Guide pilot (25 participants)</w:t>
      </w:r>
      <w:r>
        <w:rPr>
          <w:rFonts w:ascii="Arial" w:cs="Arial" w:eastAsia="Arial" w:hAnsi="Arial"/>
          <w:b w:val="false"/>
          <w:bCs w:val="false"/>
          <w:i w:val="false"/>
          <w:iCs w:val="false"/>
          <w:color w:val="1A1A1A"/>
          <w:sz w:val="22"/>
          <w:szCs w:val="22"/>
        </w:rPr>
        <w:t xml:space="preserve"> with publication forthcoming; launched the </w:t>
      </w:r>
      <w:r>
        <w:rPr>
          <w:rFonts w:ascii="Arial" w:cs="Arial" w:eastAsia="Arial" w:hAnsi="Arial"/>
          <w:b/>
          <w:bCs/>
          <w:i w:val="false"/>
          <w:iCs w:val="false"/>
          <w:color w:val="1A1A1A"/>
          <w:sz w:val="22"/>
          <w:szCs w:val="22"/>
        </w:rPr>
        <w:t xml:space="preserve">CGM Pilot recruiting now</w:t>
      </w:r>
      <w:r>
        <w:rPr>
          <w:rFonts w:ascii="Arial" w:cs="Arial" w:eastAsia="Arial" w:hAnsi="Arial"/>
          <w:b w:val="false"/>
          <w:bCs w:val="false"/>
          <w:i w:val="false"/>
          <w:iCs w:val="false"/>
          <w:color w:val="1A1A1A"/>
          <w:sz w:val="22"/>
          <w:szCs w:val="22"/>
        </w:rPr>
        <w:t xml:space="preserve"> (30 participants, Indian + Filipino T2D); launched the </w:t>
      </w:r>
      <w:r>
        <w:rPr>
          <w:rFonts w:ascii="Arial" w:cs="Arial" w:eastAsia="Arial" w:hAnsi="Arial"/>
          <w:b/>
          <w:bCs/>
          <w:i w:val="false"/>
          <w:iCs w:val="false"/>
          <w:color w:val="1A1A1A"/>
          <w:sz w:val="22"/>
          <w:szCs w:val="22"/>
        </w:rPr>
        <w:t xml:space="preserve">PLANT Study teaching kitchen</w:t>
      </w:r>
      <w:r>
        <w:rPr>
          <w:rFonts w:ascii="Arial" w:cs="Arial" w:eastAsia="Arial" w:hAnsi="Arial"/>
          <w:b w:val="false"/>
          <w:bCs w:val="false"/>
          <w:i w:val="false"/>
          <w:iCs w:val="false"/>
          <w:color w:val="1A1A1A"/>
          <w:sz w:val="22"/>
          <w:szCs w:val="22"/>
        </w:rPr>
        <w:t xml:space="preserve"> (September 2025); partnered with Stanford Residential &amp; Dining Enterprises (6 NOURISH recipes in dining halls), Genentech, MedChefs, and San Jose State University; and distributed content through the Stanford Occupational Health Center (~1,000 direct patient visits/year, ~7,000 touched/year) and a </w:t>
      </w:r>
      <w:r>
        <w:rPr>
          <w:rFonts w:ascii="Arial" w:cs="Arial" w:eastAsia="Arial" w:hAnsi="Arial"/>
          <w:b/>
          <w:bCs/>
          <w:i w:val="false"/>
          <w:iCs w:val="false"/>
          <w:color w:val="1A1A1A"/>
          <w:sz w:val="22"/>
          <w:szCs w:val="22"/>
        </w:rPr>
        <w:t xml:space="preserve">South Asian Heart Center talk that reached 408,300 views.</w:t>
      </w:r>
    </w:p>
    <w:p>
      <w:pPr>
        <w:pStyle w:val="Heading2"/>
        <w:spacing w:after="120" w:before="240"/>
      </w:pPr>
      <w:r>
        <w:rPr>
          <w:rFonts w:ascii="Arial" w:cs="Arial" w:eastAsia="Arial" w:hAnsi="Arial"/>
          <w:b/>
          <w:bCs/>
          <w:color w:val="1A1A1A"/>
          <w:sz w:val="26"/>
          <w:szCs w:val="26"/>
        </w:rPr>
        <w:t xml:space="preserve">Success Metrics (evidence-based, quantifiable)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tcBorders>
              <w:top w:val="single" w:color="BFBFBF" w:sz="4"/>
              <w:left w:val="single" w:color="BFBFBF" w:sz="4"/>
              <w:bottom w:val="single" w:color="BFBFBF" w:sz="4"/>
              <w:right w:val="single" w:color="BFBFBF" w:sz="4"/>
            </w:tcBorders>
            <w:shd w:fill="1A5490" w:val="clear"/>
            <w:tcMar>
              <w:top w:type="dxa" w:w="100"/>
              <w:left w:type="dxa" w:w="140"/>
              <w:bottom w:type="dxa" w:w="100"/>
              <w:right w:type="dxa" w:w="140"/>
            </w:tcMar>
            <w:vAlign w:val="top"/>
          </w:tcPr>
          <w:p>
            <w:pPr>
              <w:spacing w:after="40" w:before="0" w:line="280"/>
              <w:jc w:val="left"/>
            </w:pPr>
            <w:r>
              <w:rPr>
                <w:rFonts w:ascii="Arial" w:cs="Arial" w:eastAsia="Arial" w:hAnsi="Arial"/>
                <w:b/>
                <w:bCs/>
                <w:i w:val="false"/>
                <w:iCs w:val="false"/>
                <w:color w:val="FFFFFF"/>
                <w:sz w:val="22"/>
                <w:szCs w:val="22"/>
              </w:rPr>
              <w:t xml:space="preserve">Milestone</w:t>
            </w:r>
          </w:p>
        </w:tc>
        <w:tc>
          <w:tcPr>
            <w:tcW w:type="dxa" w:w="3600"/>
            <w:tcBorders>
              <w:top w:val="single" w:color="BFBFBF" w:sz="4"/>
              <w:left w:val="single" w:color="BFBFBF" w:sz="4"/>
              <w:bottom w:val="single" w:color="BFBFBF" w:sz="4"/>
              <w:right w:val="single" w:color="BFBFBF" w:sz="4"/>
            </w:tcBorders>
            <w:shd w:fill="1A5490" w:val="clear"/>
            <w:tcMar>
              <w:top w:type="dxa" w:w="100"/>
              <w:left w:type="dxa" w:w="140"/>
              <w:bottom w:type="dxa" w:w="100"/>
              <w:right w:type="dxa" w:w="140"/>
            </w:tcMar>
            <w:vAlign w:val="top"/>
          </w:tcPr>
          <w:p>
            <w:pPr>
              <w:spacing w:after="40" w:before="0" w:line="280"/>
              <w:jc w:val="left"/>
            </w:pPr>
            <w:r>
              <w:rPr>
                <w:rFonts w:ascii="Arial" w:cs="Arial" w:eastAsia="Arial" w:hAnsi="Arial"/>
                <w:b/>
                <w:bCs/>
                <w:i w:val="false"/>
                <w:iCs w:val="false"/>
                <w:color w:val="FFFFFF"/>
                <w:sz w:val="22"/>
                <w:szCs w:val="22"/>
              </w:rPr>
              <w:t xml:space="preserve">Metric</w:t>
            </w:r>
          </w:p>
        </w:tc>
        <w:tc>
          <w:tcPr>
            <w:tcW w:type="dxa" w:w="2960"/>
            <w:tcBorders>
              <w:top w:val="single" w:color="BFBFBF" w:sz="4"/>
              <w:left w:val="single" w:color="BFBFBF" w:sz="4"/>
              <w:bottom w:val="single" w:color="BFBFBF" w:sz="4"/>
              <w:right w:val="single" w:color="BFBFBF" w:sz="4"/>
            </w:tcBorders>
            <w:shd w:fill="1A5490" w:val="clear"/>
            <w:tcMar>
              <w:top w:type="dxa" w:w="100"/>
              <w:left w:type="dxa" w:w="140"/>
              <w:bottom w:type="dxa" w:w="100"/>
              <w:right w:type="dxa" w:w="140"/>
            </w:tcMar>
            <w:vAlign w:val="top"/>
          </w:tcPr>
          <w:p>
            <w:pPr>
              <w:spacing w:after="40" w:before="0" w:line="280"/>
              <w:jc w:val="left"/>
            </w:pPr>
            <w:r>
              <w:rPr>
                <w:rFonts w:ascii="Arial" w:cs="Arial" w:eastAsia="Arial" w:hAnsi="Arial"/>
                <w:b/>
                <w:bCs/>
                <w:i w:val="false"/>
                <w:iCs w:val="false"/>
                <w:color w:val="FFFFFF"/>
                <w:sz w:val="22"/>
                <w:szCs w:val="22"/>
              </w:rPr>
              <w:t xml:space="preserve">Target (18 months)</w:t>
            </w:r>
          </w:p>
        </w:tc>
      </w:tr>
      <w:tr>
        <w:tc>
          <w:tcPr>
            <w:tcW w:type="dxa" w:w="2800"/>
            <w:tcBorders>
              <w:top w:val="single" w:color="BFBFBF" w:sz="4"/>
              <w:left w:val="single" w:color="BFBFBF" w:sz="4"/>
              <w:bottom w:val="single" w:color="BFBFBF" w:sz="4"/>
              <w:right w:val="single" w:color="BFBFBF" w:sz="4"/>
            </w:tcBorders>
            <w:shd w:fill="F0F5F9" w:val="clear"/>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Open dataset release</w:t>
            </w:r>
          </w:p>
        </w:tc>
        <w:tc>
          <w:tcPr>
            <w:tcW w:type="dxa" w:w="3600"/>
            <w:tcBorders>
              <w:top w:val="single" w:color="BFBFBF" w:sz="4"/>
              <w:left w:val="single" w:color="BFBFBF" w:sz="4"/>
              <w:bottom w:val="single" w:color="BFBFBF" w:sz="4"/>
              <w:right w:val="single" w:color="BFBFBF" w:sz="4"/>
            </w:tcBorders>
            <w:shd w:fill="F0F5F9" w:val="clear"/>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Ingredients × molecules × nutrients × glycemic-response records</w:t>
            </w:r>
          </w:p>
        </w:tc>
        <w:tc>
          <w:tcPr>
            <w:tcW w:type="dxa" w:w="2960"/>
            <w:tcBorders>
              <w:top w:val="single" w:color="BFBFBF" w:sz="4"/>
              <w:left w:val="single" w:color="BFBFBF" w:sz="4"/>
              <w:bottom w:val="single" w:color="BFBFBF" w:sz="4"/>
              <w:right w:val="single" w:color="BFBFBF" w:sz="4"/>
            </w:tcBorders>
            <w:shd w:fill="F0F5F9" w:val="clear"/>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≥1,500 ingredients, ≥40K triplets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Model release</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Isoflavorous-substitution model on Hugging Face</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v1.0 with documented benchmarks</w:t>
            </w:r>
          </w:p>
        </w:tc>
      </w:tr>
      <w:tr>
        <w:tc>
          <w:tcPr>
            <w:tcW w:type="dxa" w:w="2800"/>
            <w:tcBorders>
              <w:top w:val="single" w:color="BFBFBF" w:sz="4"/>
              <w:left w:val="single" w:color="BFBFBF" w:sz="4"/>
              <w:bottom w:val="single" w:color="BFBFBF" w:sz="4"/>
              <w:right w:val="single" w:color="BFBFBF" w:sz="4"/>
            </w:tcBorders>
            <w:shd w:fill="F0F5F9" w:val="clear"/>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Clinical validation</w:t>
            </w:r>
          </w:p>
        </w:tc>
        <w:tc>
          <w:tcPr>
            <w:tcW w:type="dxa" w:w="3600"/>
            <w:tcBorders>
              <w:top w:val="single" w:color="BFBFBF" w:sz="4"/>
              <w:left w:val="single" w:color="BFBFBF" w:sz="4"/>
              <w:bottom w:val="single" w:color="BFBFBF" w:sz="4"/>
              <w:right w:val="single" w:color="BFBFBF" w:sz="4"/>
            </w:tcBorders>
            <w:shd w:fill="F0F5F9" w:val="clear"/>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Δ HbA1c vs usual care (NOURISH Clinical Portal arm)</w:t>
            </w:r>
          </w:p>
        </w:tc>
        <w:tc>
          <w:tcPr>
            <w:tcW w:type="dxa" w:w="2960"/>
            <w:tcBorders>
              <w:top w:val="single" w:color="BFBFBF" w:sz="4"/>
              <w:left w:val="single" w:color="BFBFBF" w:sz="4"/>
              <w:bottom w:val="single" w:color="BFBFBF" w:sz="4"/>
              <w:right w:val="single" w:color="BFBFBF" w:sz="4"/>
            </w:tcBorders>
            <w:shd w:fill="F0F5F9" w:val="clear"/>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≥0.5 pp reduction at 90 days (n=60)</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Adherence</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 participants with ≥70% meal-plan compliance</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≥60% at 12 weeks (vs ~30% standard)</w:t>
            </w:r>
          </w:p>
        </w:tc>
      </w:tr>
      <w:tr>
        <w:tc>
          <w:tcPr>
            <w:tcW w:type="dxa" w:w="2800"/>
            <w:tcBorders>
              <w:top w:val="single" w:color="BFBFBF" w:sz="4"/>
              <w:left w:val="single" w:color="BFBFBF" w:sz="4"/>
              <w:bottom w:val="single" w:color="BFBFBF" w:sz="4"/>
              <w:right w:val="single" w:color="BFBFBF" w:sz="4"/>
            </w:tcBorders>
            <w:shd w:fill="F0F5F9" w:val="clear"/>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Publications</w:t>
            </w:r>
          </w:p>
        </w:tc>
        <w:tc>
          <w:tcPr>
            <w:tcW w:type="dxa" w:w="3600"/>
            <w:tcBorders>
              <w:top w:val="single" w:color="BFBFBF" w:sz="4"/>
              <w:left w:val="single" w:color="BFBFBF" w:sz="4"/>
              <w:bottom w:val="single" w:color="BFBFBF" w:sz="4"/>
              <w:right w:val="single" w:color="BFBFBF" w:sz="4"/>
            </w:tcBorders>
            <w:shd w:fill="F0F5F9" w:val="clear"/>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Peer-reviewed manuscripts</w:t>
            </w:r>
          </w:p>
        </w:tc>
        <w:tc>
          <w:tcPr>
            <w:tcW w:type="dxa" w:w="2960"/>
            <w:tcBorders>
              <w:top w:val="single" w:color="BFBFBF" w:sz="4"/>
              <w:left w:val="single" w:color="BFBFBF" w:sz="4"/>
              <w:bottom w:val="single" w:color="BFBFBF" w:sz="4"/>
              <w:right w:val="single" w:color="BFBFBF" w:sz="4"/>
            </w:tcBorders>
            <w:shd w:fill="F0F5F9" w:val="clear"/>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≥3 (Diabetes Care, J Nutr, Nature Food)</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Reach</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Patients served via clinical portal</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≥2,000 year 1; ≥20,000 year 3</w:t>
            </w:r>
          </w:p>
        </w:tc>
      </w:tr>
      <w:tr>
        <w:tc>
          <w:tcPr>
            <w:tcW w:type="dxa" w:w="2800"/>
            <w:tcBorders>
              <w:top w:val="single" w:color="BFBFBF" w:sz="4"/>
              <w:left w:val="single" w:color="BFBFBF" w:sz="4"/>
              <w:bottom w:val="single" w:color="BFBFBF" w:sz="4"/>
              <w:right w:val="single" w:color="BFBFBF" w:sz="4"/>
            </w:tcBorders>
            <w:shd w:fill="F0F5F9" w:val="clear"/>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Open-science adoption</w:t>
            </w:r>
          </w:p>
        </w:tc>
        <w:tc>
          <w:tcPr>
            <w:tcW w:type="dxa" w:w="3600"/>
            <w:tcBorders>
              <w:top w:val="single" w:color="BFBFBF" w:sz="4"/>
              <w:left w:val="single" w:color="BFBFBF" w:sz="4"/>
              <w:bottom w:val="single" w:color="BFBFBF" w:sz="4"/>
              <w:right w:val="single" w:color="BFBFBF" w:sz="4"/>
            </w:tcBorders>
            <w:shd w:fill="F0F5F9" w:val="clear"/>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Downstream citations + dataset downloads</w:t>
            </w:r>
          </w:p>
        </w:tc>
        <w:tc>
          <w:tcPr>
            <w:tcW w:type="dxa" w:w="2960"/>
            <w:tcBorders>
              <w:top w:val="single" w:color="BFBFBF" w:sz="4"/>
              <w:left w:val="single" w:color="BFBFBF" w:sz="4"/>
              <w:bottom w:val="single" w:color="BFBFBF" w:sz="4"/>
              <w:right w:val="single" w:color="BFBFBF" w:sz="4"/>
            </w:tcBorders>
            <w:shd w:fill="F0F5F9" w:val="clear"/>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≥500 downloads, ≥10 downstream uses</w:t>
            </w:r>
          </w:p>
        </w:tc>
      </w:tr>
    </w:tbl>
    <w:p>
      <w:pPr>
        <w:pStyle w:val="Heading2"/>
        <w:spacing w:after="120" w:before="240"/>
      </w:pPr>
      <w:r>
        <w:rPr>
          <w:rFonts w:ascii="Arial" w:cs="Arial" w:eastAsia="Arial" w:hAnsi="Arial"/>
          <w:b/>
          <w:bCs/>
          <w:color w:val="1A1A1A"/>
          <w:sz w:val="26"/>
          <w:szCs w:val="26"/>
        </w:rPr>
        <w:t xml:space="preserve">Responsible AI</w:t>
      </w:r>
    </w:p>
    <w:p>
      <w:pPr>
        <w:spacing w:after="120" w:before="0" w:line="280"/>
        <w:jc w:val="left"/>
      </w:pPr>
      <w:r>
        <w:rPr>
          <w:rFonts w:ascii="Arial" w:cs="Arial" w:eastAsia="Arial" w:hAnsi="Arial"/>
          <w:b w:val="false"/>
          <w:bCs w:val="false"/>
          <w:i w:val="false"/>
          <w:iCs w:val="false"/>
          <w:color w:val="1A1A1A"/>
          <w:sz w:val="22"/>
          <w:szCs w:val="22"/>
        </w:rPr>
        <w:t xml:space="preserve">All data collection is IRB-approved through Stanford. Patient data is de-identified before modeling; no patient-level data leaves the NOURISH clinical environment. Models are released as open weights under Apache 2.0. The platform surfaces </w:t>
      </w:r>
      <w:r>
        <w:rPr>
          <w:rFonts w:ascii="Arial" w:cs="Arial" w:eastAsia="Arial" w:hAnsi="Arial"/>
          <w:b w:val="false"/>
          <w:bCs w:val="false"/>
          <w:i/>
          <w:iCs/>
          <w:color w:val="1A1A1A"/>
          <w:sz w:val="22"/>
          <w:szCs w:val="22"/>
        </w:rPr>
        <w:t xml:space="preserve">reasoning</w:t>
      </w:r>
      <w:r>
        <w:rPr>
          <w:rFonts w:ascii="Arial" w:cs="Arial" w:eastAsia="Arial" w:hAnsi="Arial"/>
          <w:b w:val="false"/>
          <w:bCs w:val="false"/>
          <w:i w:val="false"/>
          <w:iCs w:val="false"/>
          <w:color w:val="1A1A1A"/>
          <w:sz w:val="22"/>
          <w:szCs w:val="22"/>
        </w:rPr>
        <w:t xml:space="preserve"> (why a substitution is recommended — which nutrients shift, which molecules are preserved) rather than black-box outputs — consistent with Google’s Responsible AI Principles of </w:t>
      </w:r>
      <w:r>
        <w:rPr>
          <w:rFonts w:ascii="Arial" w:cs="Arial" w:eastAsia="Arial" w:hAnsi="Arial"/>
          <w:b/>
          <w:bCs/>
          <w:i w:val="false"/>
          <w:iCs w:val="false"/>
          <w:color w:val="1A1A1A"/>
          <w:sz w:val="22"/>
          <w:szCs w:val="22"/>
        </w:rPr>
        <w:t xml:space="preserve">transparency, fairness</w:t>
      </w:r>
      <w:r>
        <w:rPr>
          <w:rFonts w:ascii="Arial" w:cs="Arial" w:eastAsia="Arial" w:hAnsi="Arial"/>
          <w:b w:val="false"/>
          <w:bCs w:val="false"/>
          <w:i w:val="false"/>
          <w:iCs w:val="false"/>
          <w:color w:val="1A1A1A"/>
          <w:sz w:val="22"/>
          <w:szCs w:val="22"/>
        </w:rPr>
        <w:t xml:space="preserve"> (cultural inclusivity is the core design constraint), and </w:t>
      </w:r>
      <w:r>
        <w:rPr>
          <w:rFonts w:ascii="Arial" w:cs="Arial" w:eastAsia="Arial" w:hAnsi="Arial"/>
          <w:b/>
          <w:bCs/>
          <w:i w:val="false"/>
          <w:iCs w:val="false"/>
          <w:color w:val="1A1A1A"/>
          <w:sz w:val="22"/>
          <w:szCs w:val="22"/>
        </w:rPr>
        <w:t xml:space="preserve">privacy</w:t>
      </w:r>
      <w:r>
        <w:rPr>
          <w:rFonts w:ascii="Arial" w:cs="Arial" w:eastAsia="Arial" w:hAnsi="Arial"/>
          <w:b w:val="false"/>
          <w:bCs w:val="false"/>
          <w:i w:val="false"/>
          <w:iCs w:val="false"/>
          <w:color w:val="1A1A1A"/>
          <w:sz w:val="22"/>
          <w:szCs w:val="22"/>
        </w:rPr>
        <w:t xml:space="preserve">.</w:t>
      </w:r>
    </w:p>
    <w:p>
      <w:pPr>
        <w:pStyle w:val="Heading2"/>
        <w:spacing w:after="120" w:before="240"/>
      </w:pPr>
      <w:r>
        <w:rPr>
          <w:rFonts w:ascii="Arial" w:cs="Arial" w:eastAsia="Arial" w:hAnsi="Arial"/>
          <w:b/>
          <w:bCs/>
          <w:color w:val="1A1A1A"/>
          <w:sz w:val="26"/>
          <w:szCs w:val="26"/>
        </w:rPr>
        <w:t xml:space="preserve">Scalability</w:t>
      </w:r>
    </w:p>
    <w:p>
      <w:pPr>
        <w:spacing w:after="120" w:before="0" w:line="280"/>
        <w:jc w:val="left"/>
      </w:pPr>
      <w:r>
        <w:rPr>
          <w:rFonts w:ascii="Arial" w:cs="Arial" w:eastAsia="Arial" w:hAnsi="Arial"/>
          <w:b w:val="false"/>
          <w:bCs w:val="false"/>
          <w:i w:val="false"/>
          <w:iCs w:val="false"/>
          <w:color w:val="1A1A1A"/>
          <w:sz w:val="22"/>
          <w:szCs w:val="22"/>
        </w:rPr>
        <w:t xml:space="preserve">The topological atlas generalizes: once Indian + Filipino cuisines are characterized, adding Vietnamese, Chinese, Japanese, Korean, Mexican, or West African requires only ingredient-level data extension, not architectural change. The open dataset + open models create a compounding public good usable by any clinical team, any app developer, any nutrition researcher, globally. The NOURISH clinical portal is replicable across occupational health centers — Stanford is the template; Kaiser, Sutter, UCSF, Mass General are plausible next-site partners already modeled in NOURISH V1 clinical integration design.</w:t>
      </w:r>
    </w:p>
    <w:p>
      <w:pPr>
        <w:pStyle w:val="Heading2"/>
        <w:spacing w:after="120" w:before="240"/>
      </w:pPr>
      <w:r>
        <w:rPr>
          <w:rFonts w:ascii="Arial" w:cs="Arial" w:eastAsia="Arial" w:hAnsi="Arial"/>
          <w:b/>
          <w:bCs/>
          <w:color w:val="1A1A1A"/>
          <w:sz w:val="26"/>
          <w:szCs w:val="26"/>
        </w:rPr>
        <w:t xml:space="preserve">18-Month Execution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4"/>
              <w:left w:val="single" w:color="BFBFBF" w:sz="4"/>
              <w:bottom w:val="single" w:color="BFBFBF" w:sz="4"/>
              <w:right w:val="single" w:color="BFBFBF" w:sz="4"/>
            </w:tcBorders>
            <w:shd w:fill="1A5490" w:val="clear"/>
            <w:tcMar>
              <w:top w:type="dxa" w:w="100"/>
              <w:left w:type="dxa" w:w="140"/>
              <w:bottom w:type="dxa" w:w="100"/>
              <w:right w:type="dxa" w:w="140"/>
            </w:tcMar>
            <w:vAlign w:val="top"/>
          </w:tcPr>
          <w:p>
            <w:pPr>
              <w:spacing w:after="40" w:before="0" w:line="280"/>
              <w:jc w:val="left"/>
            </w:pPr>
            <w:r>
              <w:rPr>
                <w:rFonts w:ascii="Arial" w:cs="Arial" w:eastAsia="Arial" w:hAnsi="Arial"/>
                <w:b/>
                <w:bCs/>
                <w:i w:val="false"/>
                <w:iCs w:val="false"/>
                <w:color w:val="FFFFFF"/>
                <w:sz w:val="22"/>
                <w:szCs w:val="22"/>
              </w:rPr>
              <w:t xml:space="preserve">Phase</w:t>
            </w:r>
          </w:p>
        </w:tc>
        <w:tc>
          <w:tcPr>
            <w:tcW w:type="dxa" w:w="7560"/>
            <w:tcBorders>
              <w:top w:val="single" w:color="BFBFBF" w:sz="4"/>
              <w:left w:val="single" w:color="BFBFBF" w:sz="4"/>
              <w:bottom w:val="single" w:color="BFBFBF" w:sz="4"/>
              <w:right w:val="single" w:color="BFBFBF" w:sz="4"/>
            </w:tcBorders>
            <w:shd w:fill="1A5490" w:val="clear"/>
            <w:tcMar>
              <w:top w:type="dxa" w:w="100"/>
              <w:left w:type="dxa" w:w="140"/>
              <w:bottom w:type="dxa" w:w="100"/>
              <w:right w:type="dxa" w:w="140"/>
            </w:tcMar>
            <w:vAlign w:val="top"/>
          </w:tcPr>
          <w:p>
            <w:pPr>
              <w:spacing w:after="40" w:before="0" w:line="280"/>
              <w:jc w:val="left"/>
            </w:pPr>
            <w:r>
              <w:rPr>
                <w:rFonts w:ascii="Arial" w:cs="Arial" w:eastAsia="Arial" w:hAnsi="Arial"/>
                <w:b/>
                <w:bCs/>
                <w:i w:val="false"/>
                <w:iCs w:val="false"/>
                <w:color w:val="FFFFFF"/>
                <w:sz w:val="22"/>
                <w:szCs w:val="22"/>
              </w:rPr>
              <w:t xml:space="preserve">Activities</w:t>
            </w:r>
          </w:p>
        </w:tc>
      </w:tr>
      <w:tr>
        <w:tc>
          <w:tcPr>
            <w:tcW w:type="dxa" w:w="1800"/>
            <w:tcBorders>
              <w:top w:val="single" w:color="BFBFBF" w:sz="4"/>
              <w:left w:val="single" w:color="BFBFBF" w:sz="4"/>
              <w:bottom w:val="single" w:color="BFBFBF" w:sz="4"/>
              <w:right w:val="single" w:color="BFBFBF" w:sz="4"/>
            </w:tcBorders>
            <w:shd w:fill="F0F5F9" w:val="clear"/>
            <w:tcMar>
              <w:top w:type="dxa" w:w="100"/>
              <w:left w:type="dxa" w:w="140"/>
              <w:bottom w:type="dxa" w:w="100"/>
              <w:right w:type="dxa" w:w="140"/>
            </w:tcMar>
            <w:vAlign w:val="top"/>
          </w:tcPr>
          <w:p>
            <w:pPr>
              <w:spacing w:after="40" w:before="0" w:line="280"/>
              <w:jc w:val="left"/>
            </w:pPr>
            <w:r>
              <w:rPr>
                <w:rFonts w:ascii="Arial" w:cs="Arial" w:eastAsia="Arial" w:hAnsi="Arial"/>
                <w:b/>
                <w:bCs/>
                <w:i w:val="false"/>
                <w:iCs w:val="false"/>
                <w:color w:val="1A1A1A"/>
                <w:sz w:val="22"/>
                <w:szCs w:val="22"/>
              </w:rPr>
              <w:t xml:space="preserve">Months 0–3</w:t>
            </w:r>
          </w:p>
        </w:tc>
        <w:tc>
          <w:tcPr>
            <w:tcW w:type="dxa" w:w="7560"/>
            <w:tcBorders>
              <w:top w:val="single" w:color="BFBFBF" w:sz="4"/>
              <w:left w:val="single" w:color="BFBFBF" w:sz="4"/>
              <w:bottom w:val="single" w:color="BFBFBF" w:sz="4"/>
              <w:right w:val="single" w:color="BFBFBF" w:sz="4"/>
            </w:tcBorders>
            <w:shd w:fill="F0F5F9" w:val="clear"/>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Infrastructure on Google Cloud — Vertex AI pipelines, BigQuery warehouse, Cloud Storage for FlavorDB/ICMR/USDA imports, Dataflow for ETL. TDA prototyping on Compute Engine GPU. IRB amendment for Sous arm of CGM Pilot.</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before="0" w:line="280"/>
              <w:jc w:val="left"/>
            </w:pPr>
            <w:r>
              <w:rPr>
                <w:rFonts w:ascii="Arial" w:cs="Arial" w:eastAsia="Arial" w:hAnsi="Arial"/>
                <w:b/>
                <w:bCs/>
                <w:i w:val="false"/>
                <w:iCs w:val="false"/>
                <w:color w:val="1A1A1A"/>
                <w:sz w:val="22"/>
                <w:szCs w:val="22"/>
              </w:rPr>
              <w:t xml:space="preserve">Months 3–9</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Atlas construction. Ingest flavor-molecule, nutritional, and NOURISH CGM-response datasets into BigQuery. Run TDA pipelines to identify isoflavorous-substitution neighborhoods. Train substitution model on Vertex AI. Pilot meal recommendations with 10 NOURISH patients (internal validation).</w:t>
            </w:r>
          </w:p>
        </w:tc>
      </w:tr>
      <w:tr>
        <w:tc>
          <w:tcPr>
            <w:tcW w:type="dxa" w:w="1800"/>
            <w:tcBorders>
              <w:top w:val="single" w:color="BFBFBF" w:sz="4"/>
              <w:left w:val="single" w:color="BFBFBF" w:sz="4"/>
              <w:bottom w:val="single" w:color="BFBFBF" w:sz="4"/>
              <w:right w:val="single" w:color="BFBFBF" w:sz="4"/>
            </w:tcBorders>
            <w:shd w:fill="F0F5F9" w:val="clear"/>
            <w:tcMar>
              <w:top w:type="dxa" w:w="100"/>
              <w:left w:type="dxa" w:w="140"/>
              <w:bottom w:type="dxa" w:w="100"/>
              <w:right w:type="dxa" w:w="140"/>
            </w:tcMar>
            <w:vAlign w:val="top"/>
          </w:tcPr>
          <w:p>
            <w:pPr>
              <w:spacing w:after="40" w:before="0" w:line="280"/>
              <w:jc w:val="left"/>
            </w:pPr>
            <w:r>
              <w:rPr>
                <w:rFonts w:ascii="Arial" w:cs="Arial" w:eastAsia="Arial" w:hAnsi="Arial"/>
                <w:b/>
                <w:bCs/>
                <w:i w:val="false"/>
                <w:iCs w:val="false"/>
                <w:color w:val="1A1A1A"/>
                <w:sz w:val="22"/>
                <w:szCs w:val="22"/>
              </w:rPr>
              <w:t xml:space="preserve">Months 9–15</w:t>
            </w:r>
          </w:p>
        </w:tc>
        <w:tc>
          <w:tcPr>
            <w:tcW w:type="dxa" w:w="7560"/>
            <w:tcBorders>
              <w:top w:val="single" w:color="BFBFBF" w:sz="4"/>
              <w:left w:val="single" w:color="BFBFBF" w:sz="4"/>
              <w:bottom w:val="single" w:color="BFBFBF" w:sz="4"/>
              <w:right w:val="single" w:color="BFBFBF" w:sz="4"/>
            </w:tcBorders>
            <w:shd w:fill="F0F5F9" w:val="clear"/>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Clinical integration. Deploy Sous meal-recommendation API through NOURISH Clinical Portal. Expand CGM cohort to 60 patients (Indian, Filipino, Chinese, Vietnamese, Japanese arms). Measure A1C, TIR, adherence vs usual care.</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before="0" w:line="280"/>
              <w:jc w:val="left"/>
            </w:pPr>
            <w:r>
              <w:rPr>
                <w:rFonts w:ascii="Arial" w:cs="Arial" w:eastAsia="Arial" w:hAnsi="Arial"/>
                <w:b/>
                <w:bCs/>
                <w:i w:val="false"/>
                <w:iCs w:val="false"/>
                <w:color w:val="1A1A1A"/>
                <w:sz w:val="22"/>
                <w:szCs w:val="22"/>
              </w:rPr>
              <w:t xml:space="preserve">Months 15–18</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Open release. Publish dataset (Zenodo + Hugging Face Datasets), models (Hugging Face), and first paper. Present at ADA Scientific Sessions and AI in Medicine venues.</w:t>
            </w:r>
          </w:p>
        </w:tc>
      </w:tr>
    </w:tbl>
    <w:p>
      <w:r>
        <w:br w:type="page"/>
      </w:r>
    </w:p>
    <w:p>
      <w:pPr>
        <w:pStyle w:val="Heading1"/>
        <w:spacing w:after="160" w:before="360"/>
      </w:pPr>
      <w:r>
        <w:rPr>
          <w:rFonts w:ascii="Arial" w:cs="Arial" w:eastAsia="Arial" w:hAnsi="Arial"/>
          <w:b/>
          <w:bCs/>
          <w:color w:val="1A5490"/>
          <w:sz w:val="32"/>
          <w:szCs w:val="32"/>
        </w:rPr>
        <w:t xml:space="preserve">2. Budget — $500,000 over 18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400"/>
        <w:gridCol w:w="800"/>
        <w:gridCol w:w="2600"/>
      </w:tblGrid>
      <w:tr>
        <w:trPr>
          <w:tblHeader/>
        </w:trPr>
        <w:tc>
          <w:tcPr>
            <w:tcW w:type="dxa" w:w="4560"/>
            <w:tcBorders>
              <w:top w:val="single" w:color="BFBFBF" w:sz="4"/>
              <w:left w:val="single" w:color="BFBFBF" w:sz="4"/>
              <w:bottom w:val="single" w:color="BFBFBF" w:sz="4"/>
              <w:right w:val="single" w:color="BFBFBF" w:sz="4"/>
            </w:tcBorders>
            <w:shd w:fill="1A5490" w:val="clear"/>
            <w:tcMar>
              <w:top w:type="dxa" w:w="100"/>
              <w:left w:type="dxa" w:w="140"/>
              <w:bottom w:type="dxa" w:w="100"/>
              <w:right w:type="dxa" w:w="140"/>
            </w:tcMar>
            <w:vAlign w:val="top"/>
          </w:tcPr>
          <w:p>
            <w:pPr>
              <w:spacing w:after="40" w:before="0" w:line="280"/>
              <w:jc w:val="left"/>
            </w:pPr>
            <w:r>
              <w:rPr>
                <w:rFonts w:ascii="Arial" w:cs="Arial" w:eastAsia="Arial" w:hAnsi="Arial"/>
                <w:b/>
                <w:bCs/>
                <w:i w:val="false"/>
                <w:iCs w:val="false"/>
                <w:color w:val="FFFFFF"/>
                <w:sz w:val="22"/>
                <w:szCs w:val="22"/>
              </w:rPr>
              <w:t xml:space="preserve">Category</w:t>
            </w:r>
          </w:p>
        </w:tc>
        <w:tc>
          <w:tcPr>
            <w:tcW w:type="dxa" w:w="1400"/>
            <w:tcBorders>
              <w:top w:val="single" w:color="BFBFBF" w:sz="4"/>
              <w:left w:val="single" w:color="BFBFBF" w:sz="4"/>
              <w:bottom w:val="single" w:color="BFBFBF" w:sz="4"/>
              <w:right w:val="single" w:color="BFBFBF" w:sz="4"/>
            </w:tcBorders>
            <w:shd w:fill="1A5490" w:val="clear"/>
            <w:tcMar>
              <w:top w:type="dxa" w:w="100"/>
              <w:left w:type="dxa" w:w="140"/>
              <w:bottom w:type="dxa" w:w="100"/>
              <w:right w:type="dxa" w:w="140"/>
            </w:tcMar>
            <w:vAlign w:val="top"/>
          </w:tcPr>
          <w:p>
            <w:pPr>
              <w:spacing w:after="40" w:before="0" w:line="280"/>
              <w:jc w:val="left"/>
            </w:pPr>
            <w:r>
              <w:rPr>
                <w:rFonts w:ascii="Arial" w:cs="Arial" w:eastAsia="Arial" w:hAnsi="Arial"/>
                <w:b/>
                <w:bCs/>
                <w:i w:val="false"/>
                <w:iCs w:val="false"/>
                <w:color w:val="FFFFFF"/>
                <w:sz w:val="22"/>
                <w:szCs w:val="22"/>
              </w:rPr>
              <w:t xml:space="preserve">Amount</w:t>
            </w:r>
          </w:p>
        </w:tc>
        <w:tc>
          <w:tcPr>
            <w:tcW w:type="dxa" w:w="800"/>
            <w:tcBorders>
              <w:top w:val="single" w:color="BFBFBF" w:sz="4"/>
              <w:left w:val="single" w:color="BFBFBF" w:sz="4"/>
              <w:bottom w:val="single" w:color="BFBFBF" w:sz="4"/>
              <w:right w:val="single" w:color="BFBFBF" w:sz="4"/>
            </w:tcBorders>
            <w:shd w:fill="1A5490" w:val="clear"/>
            <w:tcMar>
              <w:top w:type="dxa" w:w="100"/>
              <w:left w:type="dxa" w:w="140"/>
              <w:bottom w:type="dxa" w:w="100"/>
              <w:right w:type="dxa" w:w="140"/>
            </w:tcMar>
            <w:vAlign w:val="top"/>
          </w:tcPr>
          <w:p>
            <w:pPr>
              <w:spacing w:after="40" w:before="0" w:line="280"/>
              <w:jc w:val="left"/>
            </w:pPr>
            <w:r>
              <w:rPr>
                <w:rFonts w:ascii="Arial" w:cs="Arial" w:eastAsia="Arial" w:hAnsi="Arial"/>
                <w:b/>
                <w:bCs/>
                <w:i w:val="false"/>
                <w:iCs w:val="false"/>
                <w:color w:val="FFFFFF"/>
                <w:sz w:val="22"/>
                <w:szCs w:val="22"/>
              </w:rPr>
              <w:t xml:space="preserve">%</w:t>
            </w:r>
          </w:p>
        </w:tc>
        <w:tc>
          <w:tcPr>
            <w:tcW w:type="dxa" w:w="2600"/>
            <w:tcBorders>
              <w:top w:val="single" w:color="BFBFBF" w:sz="4"/>
              <w:left w:val="single" w:color="BFBFBF" w:sz="4"/>
              <w:bottom w:val="single" w:color="BFBFBF" w:sz="4"/>
              <w:right w:val="single" w:color="BFBFBF" w:sz="4"/>
            </w:tcBorders>
            <w:shd w:fill="1A5490" w:val="clear"/>
            <w:tcMar>
              <w:top w:type="dxa" w:w="100"/>
              <w:left w:type="dxa" w:w="140"/>
              <w:bottom w:type="dxa" w:w="100"/>
              <w:right w:type="dxa" w:w="140"/>
            </w:tcMar>
            <w:vAlign w:val="top"/>
          </w:tcPr>
          <w:p>
            <w:pPr>
              <w:spacing w:after="40" w:before="0" w:line="280"/>
              <w:jc w:val="left"/>
            </w:pPr>
            <w:r>
              <w:rPr>
                <w:rFonts w:ascii="Arial" w:cs="Arial" w:eastAsia="Arial" w:hAnsi="Arial"/>
                <w:b/>
                <w:bCs/>
                <w:i w:val="false"/>
                <w:iCs w:val="false"/>
                <w:color w:val="FFFFFF"/>
                <w:sz w:val="22"/>
                <w:szCs w:val="22"/>
              </w:rPr>
              <w:t xml:space="preserve">Notes</w:t>
            </w:r>
          </w:p>
        </w:tc>
      </w:tr>
      <w:tr>
        <w:tc>
          <w:tcPr>
            <w:tcW w:type="dxa" w:w="45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top"/>
          </w:tcPr>
          <w:p>
            <w:pPr>
              <w:spacing w:after="40" w:before="0" w:line="280"/>
              <w:jc w:val="left"/>
            </w:pPr>
            <w:r>
              <w:rPr>
                <w:rFonts w:ascii="Arial" w:cs="Arial" w:eastAsia="Arial" w:hAnsi="Arial"/>
                <w:b/>
                <w:bCs/>
                <w:i w:val="false"/>
                <w:iCs w:val="false"/>
                <w:color w:val="1A1A1A"/>
                <w:sz w:val="22"/>
                <w:szCs w:val="22"/>
              </w:rPr>
              <w:t xml:space="preserve">Personnel</w:t>
            </w:r>
          </w:p>
        </w:tc>
        <w:tc>
          <w:tcPr>
            <w:tcW w:type="dxa" w:w="14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top"/>
          </w:tcPr>
          <w:p>
            <w:pPr>
              <w:spacing w:after="40" w:before="0" w:line="280"/>
              <w:jc w:val="left"/>
            </w:pPr>
            <w:r>
              <w:rPr>
                <w:rFonts w:ascii="Arial" w:cs="Arial" w:eastAsia="Arial" w:hAnsi="Arial"/>
                <w:b/>
                <w:bCs/>
                <w:i w:val="false"/>
                <w:iCs w:val="false"/>
                <w:color w:val="1A1A1A"/>
                <w:sz w:val="22"/>
                <w:szCs w:val="22"/>
              </w:rPr>
              <w:t xml:space="preserve">$335,000</w:t>
            </w:r>
          </w:p>
        </w:tc>
        <w:tc>
          <w:tcPr>
            <w:tcW w:type="dxa" w:w="8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top"/>
          </w:tcPr>
          <w:p>
            <w:pPr>
              <w:spacing w:after="40" w:before="0" w:line="280"/>
              <w:jc w:val="left"/>
            </w:pPr>
            <w:r>
              <w:rPr>
                <w:rFonts w:ascii="Arial" w:cs="Arial" w:eastAsia="Arial" w:hAnsi="Arial"/>
                <w:b/>
                <w:bCs/>
                <w:i w:val="false"/>
                <w:iCs w:val="false"/>
                <w:color w:val="1A1A1A"/>
                <w:sz w:val="22"/>
                <w:szCs w:val="22"/>
              </w:rPr>
              <w:t xml:space="preserve">67%</w:t>
            </w:r>
          </w:p>
        </w:tc>
        <w:tc>
          <w:tcPr>
            <w:tcW w:type="dxa" w:w="26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
            </w:r>
          </w:p>
        </w:tc>
      </w:tr>
      <w:tr>
        <w:tc>
          <w:tcPr>
            <w:tcW w:type="dxa" w:w="4560"/>
            <w:tcBorders>
              <w:top w:val="single" w:color="BFBFBF" w:sz="4"/>
              <w:left w:val="single" w:color="BFBFBF" w:sz="4"/>
              <w:bottom w:val="single" w:color="BFBFBF" w:sz="4"/>
              <w:right w:val="single" w:color="BFBFBF" w:sz="4"/>
            </w:tcBorders>
            <w:shd w:fill="F0F5F9" w:val="clear"/>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  Applicant — technical lead (0.75 FTE × 18 mo)</w:t>
            </w:r>
          </w:p>
        </w:tc>
        <w:tc>
          <w:tcPr>
            <w:tcW w:type="dxa" w:w="1400"/>
            <w:tcBorders>
              <w:top w:val="single" w:color="BFBFBF" w:sz="4"/>
              <w:left w:val="single" w:color="BFBFBF" w:sz="4"/>
              <w:bottom w:val="single" w:color="BFBFBF" w:sz="4"/>
              <w:right w:val="single" w:color="BFBFBF" w:sz="4"/>
            </w:tcBorders>
            <w:shd w:fill="F0F5F9" w:val="clear"/>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$108,000</w:t>
            </w:r>
          </w:p>
        </w:tc>
        <w:tc>
          <w:tcPr>
            <w:tcW w:type="dxa" w:w="800"/>
            <w:tcBorders>
              <w:top w:val="single" w:color="BFBFBF" w:sz="4"/>
              <w:left w:val="single" w:color="BFBFBF" w:sz="4"/>
              <w:bottom w:val="single" w:color="BFBFBF" w:sz="4"/>
              <w:right w:val="single" w:color="BFBFBF" w:sz="4"/>
            </w:tcBorders>
            <w:shd w:fill="F0F5F9" w:val="clear"/>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
            </w:r>
          </w:p>
        </w:tc>
        <w:tc>
          <w:tcPr>
            <w:tcW w:type="dxa" w:w="2600"/>
            <w:tcBorders>
              <w:top w:val="single" w:color="BFBFBF" w:sz="4"/>
              <w:left w:val="single" w:color="BFBFBF" w:sz="4"/>
              <w:bottom w:val="single" w:color="BFBFBF" w:sz="4"/>
              <w:right w:val="single" w:color="BFBFBF" w:sz="4"/>
            </w:tcBorders>
            <w:shd w:fill="F0F5F9" w:val="clear"/>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Software architecture, TDA implementation, clinical integration</w:t>
            </w:r>
          </w:p>
        </w:tc>
      </w:tr>
      <w:tr>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  Research Software Engineer (1.0 FTE × 12 mo)</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$130,000</w:t>
            </w:r>
          </w:p>
        </w:tc>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Vertex AI pipeline, BigQuery ETL, model training</w:t>
            </w:r>
          </w:p>
        </w:tc>
      </w:tr>
      <w:tr>
        <w:tc>
          <w:tcPr>
            <w:tcW w:type="dxa" w:w="4560"/>
            <w:tcBorders>
              <w:top w:val="single" w:color="BFBFBF" w:sz="4"/>
              <w:left w:val="single" w:color="BFBFBF" w:sz="4"/>
              <w:bottom w:val="single" w:color="BFBFBF" w:sz="4"/>
              <w:right w:val="single" w:color="BFBFBF" w:sz="4"/>
            </w:tcBorders>
            <w:shd w:fill="F0F5F9" w:val="clear"/>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  Clinical Research Coordinator (0.5 FTE × 18 mo)</w:t>
            </w:r>
          </w:p>
        </w:tc>
        <w:tc>
          <w:tcPr>
            <w:tcW w:type="dxa" w:w="1400"/>
            <w:tcBorders>
              <w:top w:val="single" w:color="BFBFBF" w:sz="4"/>
              <w:left w:val="single" w:color="BFBFBF" w:sz="4"/>
              <w:bottom w:val="single" w:color="BFBFBF" w:sz="4"/>
              <w:right w:val="single" w:color="BFBFBF" w:sz="4"/>
            </w:tcBorders>
            <w:shd w:fill="F0F5F9" w:val="clear"/>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$54,000</w:t>
            </w:r>
          </w:p>
        </w:tc>
        <w:tc>
          <w:tcPr>
            <w:tcW w:type="dxa" w:w="800"/>
            <w:tcBorders>
              <w:top w:val="single" w:color="BFBFBF" w:sz="4"/>
              <w:left w:val="single" w:color="BFBFBF" w:sz="4"/>
              <w:bottom w:val="single" w:color="BFBFBF" w:sz="4"/>
              <w:right w:val="single" w:color="BFBFBF" w:sz="4"/>
            </w:tcBorders>
            <w:shd w:fill="F0F5F9" w:val="clear"/>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
            </w:r>
          </w:p>
        </w:tc>
        <w:tc>
          <w:tcPr>
            <w:tcW w:type="dxa" w:w="2600"/>
            <w:tcBorders>
              <w:top w:val="single" w:color="BFBFBF" w:sz="4"/>
              <w:left w:val="single" w:color="BFBFBF" w:sz="4"/>
              <w:bottom w:val="single" w:color="BFBFBF" w:sz="4"/>
              <w:right w:val="single" w:color="BFBFBF" w:sz="4"/>
            </w:tcBorders>
            <w:shd w:fill="F0F5F9" w:val="clear"/>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CGM cohort expansion, IRB management, patient enrollment</w:t>
            </w:r>
          </w:p>
        </w:tc>
      </w:tr>
      <w:tr>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  Registered Dietitian consultant (0.2 FTE × 18 mo)</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$28,000</w:t>
            </w:r>
          </w:p>
        </w:tc>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Cultural food validation (Mathur / Phan / Perelman)</w:t>
            </w:r>
          </w:p>
        </w:tc>
      </w:tr>
      <w:tr>
        <w:tc>
          <w:tcPr>
            <w:tcW w:type="dxa" w:w="4560"/>
            <w:tcBorders>
              <w:top w:val="single" w:color="BFBFBF" w:sz="4"/>
              <w:left w:val="single" w:color="BFBFBF" w:sz="4"/>
              <w:bottom w:val="single" w:color="BFBFBF" w:sz="4"/>
              <w:right w:val="single" w:color="BFBFBF" w:sz="4"/>
            </w:tcBorders>
            <w:shd w:fill="F0F5F9" w:val="clear"/>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  Data labeling / ingredient verification (contract)</w:t>
            </w:r>
          </w:p>
        </w:tc>
        <w:tc>
          <w:tcPr>
            <w:tcW w:type="dxa" w:w="1400"/>
            <w:tcBorders>
              <w:top w:val="single" w:color="BFBFBF" w:sz="4"/>
              <w:left w:val="single" w:color="BFBFBF" w:sz="4"/>
              <w:bottom w:val="single" w:color="BFBFBF" w:sz="4"/>
              <w:right w:val="single" w:color="BFBFBF" w:sz="4"/>
            </w:tcBorders>
            <w:shd w:fill="F0F5F9" w:val="clear"/>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$15,000</w:t>
            </w:r>
          </w:p>
        </w:tc>
        <w:tc>
          <w:tcPr>
            <w:tcW w:type="dxa" w:w="800"/>
            <w:tcBorders>
              <w:top w:val="single" w:color="BFBFBF" w:sz="4"/>
              <w:left w:val="single" w:color="BFBFBF" w:sz="4"/>
              <w:bottom w:val="single" w:color="BFBFBF" w:sz="4"/>
              <w:right w:val="single" w:color="BFBFBF" w:sz="4"/>
            </w:tcBorders>
            <w:shd w:fill="F0F5F9" w:val="clear"/>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
            </w:r>
          </w:p>
        </w:tc>
        <w:tc>
          <w:tcPr>
            <w:tcW w:type="dxa" w:w="2600"/>
            <w:tcBorders>
              <w:top w:val="single" w:color="BFBFBF" w:sz="4"/>
              <w:left w:val="single" w:color="BFBFBF" w:sz="4"/>
              <w:bottom w:val="single" w:color="BFBFBF" w:sz="4"/>
              <w:right w:val="single" w:color="BFBFBF" w:sz="4"/>
            </w:tcBorders>
            <w:shd w:fill="F0F5F9" w:val="clear"/>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ICMR-NIN and regional cuisine specialists</w:t>
            </w:r>
          </w:p>
        </w:tc>
      </w:tr>
      <w:tr>
        <w:tc>
          <w:tcPr>
            <w:tcW w:type="dxa" w:w="45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top"/>
          </w:tcPr>
          <w:p>
            <w:pPr>
              <w:spacing w:after="40" w:before="0" w:line="280"/>
              <w:jc w:val="left"/>
            </w:pPr>
            <w:r>
              <w:rPr>
                <w:rFonts w:ascii="Arial" w:cs="Arial" w:eastAsia="Arial" w:hAnsi="Arial"/>
                <w:b/>
                <w:bCs/>
                <w:i w:val="false"/>
                <w:iCs w:val="false"/>
                <w:color w:val="1A1A1A"/>
                <w:sz w:val="22"/>
                <w:szCs w:val="22"/>
              </w:rPr>
              <w:t xml:space="preserve">Cloud &amp; Infrastructure</w:t>
            </w:r>
          </w:p>
        </w:tc>
        <w:tc>
          <w:tcPr>
            <w:tcW w:type="dxa" w:w="14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top"/>
          </w:tcPr>
          <w:p>
            <w:pPr>
              <w:spacing w:after="40" w:before="0" w:line="280"/>
              <w:jc w:val="left"/>
            </w:pPr>
            <w:r>
              <w:rPr>
                <w:rFonts w:ascii="Arial" w:cs="Arial" w:eastAsia="Arial" w:hAnsi="Arial"/>
                <w:b/>
                <w:bCs/>
                <w:i w:val="false"/>
                <w:iCs w:val="false"/>
                <w:color w:val="1A1A1A"/>
                <w:sz w:val="22"/>
                <w:szCs w:val="22"/>
              </w:rPr>
              <w:t xml:space="preserve">$60,000</w:t>
            </w:r>
          </w:p>
        </w:tc>
        <w:tc>
          <w:tcPr>
            <w:tcW w:type="dxa" w:w="8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top"/>
          </w:tcPr>
          <w:p>
            <w:pPr>
              <w:spacing w:after="40" w:before="0" w:line="280"/>
              <w:jc w:val="left"/>
            </w:pPr>
            <w:r>
              <w:rPr>
                <w:rFonts w:ascii="Arial" w:cs="Arial" w:eastAsia="Arial" w:hAnsi="Arial"/>
                <w:b/>
                <w:bCs/>
                <w:i w:val="false"/>
                <w:iCs w:val="false"/>
                <w:color w:val="1A1A1A"/>
                <w:sz w:val="22"/>
                <w:szCs w:val="22"/>
              </w:rPr>
              <w:t xml:space="preserve">12%</w:t>
            </w:r>
          </w:p>
        </w:tc>
        <w:tc>
          <w:tcPr>
            <w:tcW w:type="dxa" w:w="26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iCs/>
                <w:color w:val="1A1A1A"/>
                <w:sz w:val="22"/>
                <w:szCs w:val="22"/>
              </w:rPr>
              <w:t xml:space="preserve">Assumes ~$30K add’l in Cloud credits</w:t>
            </w:r>
          </w:p>
        </w:tc>
      </w:tr>
      <w:tr>
        <w:tc>
          <w:tcPr>
            <w:tcW w:type="dxa" w:w="4560"/>
            <w:tcBorders>
              <w:top w:val="single" w:color="BFBFBF" w:sz="4"/>
              <w:left w:val="single" w:color="BFBFBF" w:sz="4"/>
              <w:bottom w:val="single" w:color="BFBFBF" w:sz="4"/>
              <w:right w:val="single" w:color="BFBFBF" w:sz="4"/>
            </w:tcBorders>
            <w:shd w:fill="F0F5F9" w:val="clear"/>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  Vertex AI (training, prediction endpoints)</w:t>
            </w:r>
          </w:p>
        </w:tc>
        <w:tc>
          <w:tcPr>
            <w:tcW w:type="dxa" w:w="1400"/>
            <w:tcBorders>
              <w:top w:val="single" w:color="BFBFBF" w:sz="4"/>
              <w:left w:val="single" w:color="BFBFBF" w:sz="4"/>
              <w:bottom w:val="single" w:color="BFBFBF" w:sz="4"/>
              <w:right w:val="single" w:color="BFBFBF" w:sz="4"/>
            </w:tcBorders>
            <w:shd w:fill="F0F5F9" w:val="clear"/>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$28,000</w:t>
            </w:r>
          </w:p>
        </w:tc>
        <w:tc>
          <w:tcPr>
            <w:tcW w:type="dxa" w:w="800"/>
            <w:tcBorders>
              <w:top w:val="single" w:color="BFBFBF" w:sz="4"/>
              <w:left w:val="single" w:color="BFBFBF" w:sz="4"/>
              <w:bottom w:val="single" w:color="BFBFBF" w:sz="4"/>
              <w:right w:val="single" w:color="BFBFBF" w:sz="4"/>
            </w:tcBorders>
            <w:shd w:fill="F0F5F9" w:val="clear"/>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
            </w:r>
          </w:p>
        </w:tc>
        <w:tc>
          <w:tcPr>
            <w:tcW w:type="dxa" w:w="2600"/>
            <w:tcBorders>
              <w:top w:val="single" w:color="BFBFBF" w:sz="4"/>
              <w:left w:val="single" w:color="BFBFBF" w:sz="4"/>
              <w:bottom w:val="single" w:color="BFBFBF" w:sz="4"/>
              <w:right w:val="single" w:color="BFBFBF" w:sz="4"/>
            </w:tcBorders>
            <w:shd w:fill="F0F5F9" w:val="clear"/>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~600 GPU-hours at market rates</w:t>
            </w:r>
          </w:p>
        </w:tc>
      </w:tr>
      <w:tr>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  BigQuery storage + queries</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$12,000</w:t>
            </w:r>
          </w:p>
        </w:tc>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Atlas data warehouse; partitioned tables</w:t>
            </w:r>
          </w:p>
        </w:tc>
      </w:tr>
      <w:tr>
        <w:tc>
          <w:tcPr>
            <w:tcW w:type="dxa" w:w="4560"/>
            <w:tcBorders>
              <w:top w:val="single" w:color="BFBFBF" w:sz="4"/>
              <w:left w:val="single" w:color="BFBFBF" w:sz="4"/>
              <w:bottom w:val="single" w:color="BFBFBF" w:sz="4"/>
              <w:right w:val="single" w:color="BFBFBF" w:sz="4"/>
            </w:tcBorders>
            <w:shd w:fill="F0F5F9" w:val="clear"/>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  Cloud Storage / Dataflow ETL</w:t>
            </w:r>
          </w:p>
        </w:tc>
        <w:tc>
          <w:tcPr>
            <w:tcW w:type="dxa" w:w="1400"/>
            <w:tcBorders>
              <w:top w:val="single" w:color="BFBFBF" w:sz="4"/>
              <w:left w:val="single" w:color="BFBFBF" w:sz="4"/>
              <w:bottom w:val="single" w:color="BFBFBF" w:sz="4"/>
              <w:right w:val="single" w:color="BFBFBF" w:sz="4"/>
            </w:tcBorders>
            <w:shd w:fill="F0F5F9" w:val="clear"/>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$8,000</w:t>
            </w:r>
          </w:p>
        </w:tc>
        <w:tc>
          <w:tcPr>
            <w:tcW w:type="dxa" w:w="800"/>
            <w:tcBorders>
              <w:top w:val="single" w:color="BFBFBF" w:sz="4"/>
              <w:left w:val="single" w:color="BFBFBF" w:sz="4"/>
              <w:bottom w:val="single" w:color="BFBFBF" w:sz="4"/>
              <w:right w:val="single" w:color="BFBFBF" w:sz="4"/>
            </w:tcBorders>
            <w:shd w:fill="F0F5F9" w:val="clear"/>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
            </w:r>
          </w:p>
        </w:tc>
        <w:tc>
          <w:tcPr>
            <w:tcW w:type="dxa" w:w="2600"/>
            <w:tcBorders>
              <w:top w:val="single" w:color="BFBFBF" w:sz="4"/>
              <w:left w:val="single" w:color="BFBFBF" w:sz="4"/>
              <w:bottom w:val="single" w:color="BFBFBF" w:sz="4"/>
              <w:right w:val="single" w:color="BFBFBF" w:sz="4"/>
            </w:tcBorders>
            <w:shd w:fill="F0F5F9" w:val="clear"/>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FlavorDB, USDA SR, ICMR ingestion</w:t>
            </w:r>
          </w:p>
        </w:tc>
      </w:tr>
      <w:tr>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  Cloud Run / App Engine (API hosting)</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$7,000</w:t>
            </w:r>
          </w:p>
        </w:tc>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Clinical portal backend</w:t>
            </w:r>
          </w:p>
        </w:tc>
      </w:tr>
      <w:tr>
        <w:tc>
          <w:tcPr>
            <w:tcW w:type="dxa" w:w="4560"/>
            <w:tcBorders>
              <w:top w:val="single" w:color="BFBFBF" w:sz="4"/>
              <w:left w:val="single" w:color="BFBFBF" w:sz="4"/>
              <w:bottom w:val="single" w:color="BFBFBF" w:sz="4"/>
              <w:right w:val="single" w:color="BFBFBF" w:sz="4"/>
            </w:tcBorders>
            <w:shd w:fill="F0F5F9" w:val="clear"/>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  Secret Manager, IAM, monitoring</w:t>
            </w:r>
          </w:p>
        </w:tc>
        <w:tc>
          <w:tcPr>
            <w:tcW w:type="dxa" w:w="1400"/>
            <w:tcBorders>
              <w:top w:val="single" w:color="BFBFBF" w:sz="4"/>
              <w:left w:val="single" w:color="BFBFBF" w:sz="4"/>
              <w:bottom w:val="single" w:color="BFBFBF" w:sz="4"/>
              <w:right w:val="single" w:color="BFBFBF" w:sz="4"/>
            </w:tcBorders>
            <w:shd w:fill="F0F5F9" w:val="clear"/>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$5,000</w:t>
            </w:r>
          </w:p>
        </w:tc>
        <w:tc>
          <w:tcPr>
            <w:tcW w:type="dxa" w:w="800"/>
            <w:tcBorders>
              <w:top w:val="single" w:color="BFBFBF" w:sz="4"/>
              <w:left w:val="single" w:color="BFBFBF" w:sz="4"/>
              <w:bottom w:val="single" w:color="BFBFBF" w:sz="4"/>
              <w:right w:val="single" w:color="BFBFBF" w:sz="4"/>
            </w:tcBorders>
            <w:shd w:fill="F0F5F9" w:val="clear"/>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
            </w:r>
          </w:p>
        </w:tc>
        <w:tc>
          <w:tcPr>
            <w:tcW w:type="dxa" w:w="2600"/>
            <w:tcBorders>
              <w:top w:val="single" w:color="BFBFBF" w:sz="4"/>
              <w:left w:val="single" w:color="BFBFBF" w:sz="4"/>
              <w:bottom w:val="single" w:color="BFBFBF" w:sz="4"/>
              <w:right w:val="single" w:color="BFBFBF" w:sz="4"/>
            </w:tcBorders>
            <w:shd w:fill="F0F5F9" w:val="clear"/>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Security + ops</w:t>
            </w:r>
          </w:p>
        </w:tc>
      </w:tr>
      <w:tr>
        <w:tc>
          <w:tcPr>
            <w:tcW w:type="dxa" w:w="4560"/>
            <w:tcBorders>
              <w:top w:val="single" w:color="BFBFBF" w:sz="4"/>
              <w:left w:val="single" w:color="BFBFBF" w:sz="4"/>
              <w:bottom w:val="single" w:color="BFBFBF" w:sz="4"/>
              <w:right w:val="single" w:color="BFBFBF" w:sz="4"/>
            </w:tcBorders>
            <w:shd w:fill="F0F5F9" w:val="clear"/>
            <w:tcMar>
              <w:top w:type="dxa" w:w="100"/>
              <w:left w:type="dxa" w:w="140"/>
              <w:bottom w:type="dxa" w:w="100"/>
              <w:right w:type="dxa" w:w="140"/>
            </w:tcMar>
            <w:vAlign w:val="top"/>
          </w:tcPr>
          <w:p>
            <w:pPr>
              <w:spacing w:after="40" w:before="0" w:line="280"/>
              <w:jc w:val="left"/>
            </w:pPr>
            <w:r>
              <w:rPr>
                <w:rFonts w:ascii="Arial" w:cs="Arial" w:eastAsia="Arial" w:hAnsi="Arial"/>
                <w:b/>
                <w:bCs/>
                <w:i w:val="false"/>
                <w:iCs w:val="false"/>
                <w:color w:val="1A1A1A"/>
                <w:sz w:val="22"/>
                <w:szCs w:val="22"/>
              </w:rPr>
              <w:t xml:space="preserve">CGM Supplies &amp; Clinical</w:t>
            </w:r>
          </w:p>
        </w:tc>
        <w:tc>
          <w:tcPr>
            <w:tcW w:type="dxa" w:w="1400"/>
            <w:tcBorders>
              <w:top w:val="single" w:color="BFBFBF" w:sz="4"/>
              <w:left w:val="single" w:color="BFBFBF" w:sz="4"/>
              <w:bottom w:val="single" w:color="BFBFBF" w:sz="4"/>
              <w:right w:val="single" w:color="BFBFBF" w:sz="4"/>
            </w:tcBorders>
            <w:shd w:fill="F0F5F9" w:val="clear"/>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$50,000</w:t>
            </w:r>
          </w:p>
        </w:tc>
        <w:tc>
          <w:tcPr>
            <w:tcW w:type="dxa" w:w="800"/>
            <w:tcBorders>
              <w:top w:val="single" w:color="BFBFBF" w:sz="4"/>
              <w:left w:val="single" w:color="BFBFBF" w:sz="4"/>
              <w:bottom w:val="single" w:color="BFBFBF" w:sz="4"/>
              <w:right w:val="single" w:color="BFBFBF" w:sz="4"/>
            </w:tcBorders>
            <w:shd w:fill="F0F5F9" w:val="clear"/>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10%</w:t>
            </w:r>
          </w:p>
        </w:tc>
        <w:tc>
          <w:tcPr>
            <w:tcW w:type="dxa" w:w="2600"/>
            <w:tcBorders>
              <w:top w:val="single" w:color="BFBFBF" w:sz="4"/>
              <w:left w:val="single" w:color="BFBFBF" w:sz="4"/>
              <w:bottom w:val="single" w:color="BFBFBF" w:sz="4"/>
              <w:right w:val="single" w:color="BFBFBF" w:sz="4"/>
            </w:tcBorders>
            <w:shd w:fill="F0F5F9" w:val="clear"/>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60 participants × 2 wk × Dexcom G7 sensors</w:t>
            </w:r>
          </w:p>
        </w:tc>
      </w:tr>
      <w:tr>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before="0" w:line="280"/>
              <w:jc w:val="left"/>
            </w:pPr>
            <w:r>
              <w:rPr>
                <w:rFonts w:ascii="Arial" w:cs="Arial" w:eastAsia="Arial" w:hAnsi="Arial"/>
                <w:b/>
                <w:bCs/>
                <w:i w:val="false"/>
                <w:iCs w:val="false"/>
                <w:color w:val="1A1A1A"/>
                <w:sz w:val="22"/>
                <w:szCs w:val="22"/>
              </w:rPr>
              <w:t xml:space="preserve">Publications &amp; Dissemination</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$20,000</w:t>
            </w:r>
          </w:p>
        </w:tc>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4%</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Open-access fees, ADA/AIME travel, Zenodo/HF hosting</w:t>
            </w:r>
          </w:p>
        </w:tc>
      </w:tr>
      <w:tr>
        <w:tc>
          <w:tcPr>
            <w:tcW w:type="dxa" w:w="4560"/>
            <w:tcBorders>
              <w:top w:val="single" w:color="BFBFBF" w:sz="4"/>
              <w:left w:val="single" w:color="BFBFBF" w:sz="4"/>
              <w:bottom w:val="single" w:color="BFBFBF" w:sz="4"/>
              <w:right w:val="single" w:color="BFBFBF" w:sz="4"/>
            </w:tcBorders>
            <w:shd w:fill="F0F5F9" w:val="clear"/>
            <w:tcMar>
              <w:top w:type="dxa" w:w="100"/>
              <w:left w:type="dxa" w:w="140"/>
              <w:bottom w:type="dxa" w:w="100"/>
              <w:right w:type="dxa" w:w="140"/>
            </w:tcMar>
            <w:vAlign w:val="top"/>
          </w:tcPr>
          <w:p>
            <w:pPr>
              <w:spacing w:after="40" w:before="0" w:line="280"/>
              <w:jc w:val="left"/>
            </w:pPr>
            <w:r>
              <w:rPr>
                <w:rFonts w:ascii="Arial" w:cs="Arial" w:eastAsia="Arial" w:hAnsi="Arial"/>
                <w:b/>
                <w:bCs/>
                <w:i w:val="false"/>
                <w:iCs w:val="false"/>
                <w:color w:val="1A1A1A"/>
                <w:sz w:val="22"/>
                <w:szCs w:val="22"/>
              </w:rPr>
              <w:t xml:space="preserve">Patient Incentives</w:t>
            </w:r>
          </w:p>
        </w:tc>
        <w:tc>
          <w:tcPr>
            <w:tcW w:type="dxa" w:w="1400"/>
            <w:tcBorders>
              <w:top w:val="single" w:color="BFBFBF" w:sz="4"/>
              <w:left w:val="single" w:color="BFBFBF" w:sz="4"/>
              <w:bottom w:val="single" w:color="BFBFBF" w:sz="4"/>
              <w:right w:val="single" w:color="BFBFBF" w:sz="4"/>
            </w:tcBorders>
            <w:shd w:fill="F0F5F9" w:val="clear"/>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$15,000</w:t>
            </w:r>
          </w:p>
        </w:tc>
        <w:tc>
          <w:tcPr>
            <w:tcW w:type="dxa" w:w="800"/>
            <w:tcBorders>
              <w:top w:val="single" w:color="BFBFBF" w:sz="4"/>
              <w:left w:val="single" w:color="BFBFBF" w:sz="4"/>
              <w:bottom w:val="single" w:color="BFBFBF" w:sz="4"/>
              <w:right w:val="single" w:color="BFBFBF" w:sz="4"/>
            </w:tcBorders>
            <w:shd w:fill="F0F5F9" w:val="clear"/>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3%</w:t>
            </w:r>
          </w:p>
        </w:tc>
        <w:tc>
          <w:tcPr>
            <w:tcW w:type="dxa" w:w="2600"/>
            <w:tcBorders>
              <w:top w:val="single" w:color="BFBFBF" w:sz="4"/>
              <w:left w:val="single" w:color="BFBFBF" w:sz="4"/>
              <w:bottom w:val="single" w:color="BFBFBF" w:sz="4"/>
              <w:right w:val="single" w:color="BFBFBF" w:sz="4"/>
            </w:tcBorders>
            <w:shd w:fill="F0F5F9" w:val="clear"/>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$250 × 60 CGM cohort</w:t>
            </w:r>
          </w:p>
        </w:tc>
      </w:tr>
      <w:tr>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before="0" w:line="280"/>
              <w:jc w:val="left"/>
            </w:pPr>
            <w:r>
              <w:rPr>
                <w:rFonts w:ascii="Arial" w:cs="Arial" w:eastAsia="Arial" w:hAnsi="Arial"/>
                <w:b/>
                <w:bCs/>
                <w:i w:val="false"/>
                <w:iCs w:val="false"/>
                <w:color w:val="1A1A1A"/>
                <w:sz w:val="22"/>
                <w:szCs w:val="22"/>
              </w:rPr>
              <w:t xml:space="preserve">IRB &amp; Compliance</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$5,000</w:t>
            </w:r>
          </w:p>
        </w:tc>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1%</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Amendment fees, data privacy audit</w:t>
            </w:r>
          </w:p>
        </w:tc>
      </w:tr>
      <w:tr>
        <w:tc>
          <w:tcPr>
            <w:tcW w:type="dxa" w:w="4560"/>
            <w:tcBorders>
              <w:top w:val="single" w:color="BFBFBF" w:sz="4"/>
              <w:left w:val="single" w:color="BFBFBF" w:sz="4"/>
              <w:bottom w:val="single" w:color="BFBFBF" w:sz="4"/>
              <w:right w:val="single" w:color="BFBFBF" w:sz="4"/>
            </w:tcBorders>
            <w:shd w:fill="F0F5F9" w:val="clear"/>
            <w:tcMar>
              <w:top w:type="dxa" w:w="100"/>
              <w:left w:type="dxa" w:w="140"/>
              <w:bottom w:type="dxa" w:w="100"/>
              <w:right w:type="dxa" w:w="140"/>
            </w:tcMar>
            <w:vAlign w:val="top"/>
          </w:tcPr>
          <w:p>
            <w:pPr>
              <w:spacing w:after="40" w:before="0" w:line="280"/>
              <w:jc w:val="left"/>
            </w:pPr>
            <w:r>
              <w:rPr>
                <w:rFonts w:ascii="Arial" w:cs="Arial" w:eastAsia="Arial" w:hAnsi="Arial"/>
                <w:b/>
                <w:bCs/>
                <w:i w:val="false"/>
                <w:iCs w:val="false"/>
                <w:color w:val="1A1A1A"/>
                <w:sz w:val="22"/>
                <w:szCs w:val="22"/>
              </w:rPr>
              <w:t xml:space="preserve">Indirect Costs (Stanford F&amp;A, capped)</w:t>
            </w:r>
          </w:p>
        </w:tc>
        <w:tc>
          <w:tcPr>
            <w:tcW w:type="dxa" w:w="1400"/>
            <w:tcBorders>
              <w:top w:val="single" w:color="BFBFBF" w:sz="4"/>
              <w:left w:val="single" w:color="BFBFBF" w:sz="4"/>
              <w:bottom w:val="single" w:color="BFBFBF" w:sz="4"/>
              <w:right w:val="single" w:color="BFBFBF" w:sz="4"/>
            </w:tcBorders>
            <w:shd w:fill="F0F5F9" w:val="clear"/>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$15,000</w:t>
            </w:r>
          </w:p>
        </w:tc>
        <w:tc>
          <w:tcPr>
            <w:tcW w:type="dxa" w:w="800"/>
            <w:tcBorders>
              <w:top w:val="single" w:color="BFBFBF" w:sz="4"/>
              <w:left w:val="single" w:color="BFBFBF" w:sz="4"/>
              <w:bottom w:val="single" w:color="BFBFBF" w:sz="4"/>
              <w:right w:val="single" w:color="BFBFBF" w:sz="4"/>
            </w:tcBorders>
            <w:shd w:fill="F0F5F9" w:val="clear"/>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3%</w:t>
            </w:r>
          </w:p>
        </w:tc>
        <w:tc>
          <w:tcPr>
            <w:tcW w:type="dxa" w:w="2600"/>
            <w:tcBorders>
              <w:top w:val="single" w:color="BFBFBF" w:sz="4"/>
              <w:left w:val="single" w:color="BFBFBF" w:sz="4"/>
              <w:bottom w:val="single" w:color="BFBFBF" w:sz="4"/>
              <w:right w:val="single" w:color="BFBFBF" w:sz="4"/>
            </w:tcBorders>
            <w:shd w:fill="F0F5F9" w:val="clear"/>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Google.org philanthropic rate</w:t>
            </w:r>
          </w:p>
        </w:tc>
      </w:tr>
      <w:tr>
        <w:tc>
          <w:tcPr>
            <w:tcW w:type="dxa" w:w="4560"/>
            <w:tcBorders>
              <w:top w:val="single" w:color="BFBFBF" w:sz="4"/>
              <w:left w:val="single" w:color="BFBFBF" w:sz="4"/>
              <w:bottom w:val="single" w:color="BFBFBF" w:sz="4"/>
              <w:right w:val="single" w:color="BFBFBF" w:sz="4"/>
            </w:tcBorders>
            <w:shd w:fill="1A5490" w:val="clear"/>
            <w:tcMar>
              <w:top w:type="dxa" w:w="100"/>
              <w:left w:type="dxa" w:w="140"/>
              <w:bottom w:type="dxa" w:w="100"/>
              <w:right w:type="dxa" w:w="140"/>
            </w:tcMar>
            <w:vAlign w:val="top"/>
          </w:tcPr>
          <w:p>
            <w:pPr>
              <w:spacing w:after="40" w:before="0" w:line="280"/>
              <w:jc w:val="left"/>
            </w:pPr>
            <w:r>
              <w:rPr>
                <w:rFonts w:ascii="Arial" w:cs="Arial" w:eastAsia="Arial" w:hAnsi="Arial"/>
                <w:b/>
                <w:bCs/>
                <w:i w:val="false"/>
                <w:iCs w:val="false"/>
                <w:color w:val="FFFFFF"/>
                <w:sz w:val="22"/>
                <w:szCs w:val="22"/>
              </w:rPr>
              <w:t xml:space="preserve">TOTAL</w:t>
            </w:r>
          </w:p>
        </w:tc>
        <w:tc>
          <w:tcPr>
            <w:tcW w:type="dxa" w:w="1400"/>
            <w:tcBorders>
              <w:top w:val="single" w:color="BFBFBF" w:sz="4"/>
              <w:left w:val="single" w:color="BFBFBF" w:sz="4"/>
              <w:bottom w:val="single" w:color="BFBFBF" w:sz="4"/>
              <w:right w:val="single" w:color="BFBFBF" w:sz="4"/>
            </w:tcBorders>
            <w:shd w:fill="1A5490" w:val="clear"/>
            <w:tcMar>
              <w:top w:type="dxa" w:w="100"/>
              <w:left w:type="dxa" w:w="140"/>
              <w:bottom w:type="dxa" w:w="100"/>
              <w:right w:type="dxa" w:w="140"/>
            </w:tcMar>
            <w:vAlign w:val="top"/>
          </w:tcPr>
          <w:p>
            <w:pPr>
              <w:spacing w:after="40" w:before="0" w:line="280"/>
              <w:jc w:val="left"/>
            </w:pPr>
            <w:r>
              <w:rPr>
                <w:rFonts w:ascii="Arial" w:cs="Arial" w:eastAsia="Arial" w:hAnsi="Arial"/>
                <w:b/>
                <w:bCs/>
                <w:i w:val="false"/>
                <w:iCs w:val="false"/>
                <w:color w:val="FFFFFF"/>
                <w:sz w:val="22"/>
                <w:szCs w:val="22"/>
              </w:rPr>
              <w:t xml:space="preserve">$500,000</w:t>
            </w:r>
          </w:p>
        </w:tc>
        <w:tc>
          <w:tcPr>
            <w:tcW w:type="dxa" w:w="800"/>
            <w:tcBorders>
              <w:top w:val="single" w:color="BFBFBF" w:sz="4"/>
              <w:left w:val="single" w:color="BFBFBF" w:sz="4"/>
              <w:bottom w:val="single" w:color="BFBFBF" w:sz="4"/>
              <w:right w:val="single" w:color="BFBFBF" w:sz="4"/>
            </w:tcBorders>
            <w:shd w:fill="1A5490" w:val="clear"/>
            <w:tcMar>
              <w:top w:type="dxa" w:w="100"/>
              <w:left w:type="dxa" w:w="140"/>
              <w:bottom w:type="dxa" w:w="100"/>
              <w:right w:type="dxa" w:w="140"/>
            </w:tcMar>
            <w:vAlign w:val="top"/>
          </w:tcPr>
          <w:p>
            <w:pPr>
              <w:spacing w:after="40" w:before="0" w:line="280"/>
              <w:jc w:val="left"/>
            </w:pPr>
            <w:r>
              <w:rPr>
                <w:rFonts w:ascii="Arial" w:cs="Arial" w:eastAsia="Arial" w:hAnsi="Arial"/>
                <w:b/>
                <w:bCs/>
                <w:i w:val="false"/>
                <w:iCs w:val="false"/>
                <w:color w:val="FFFFFF"/>
                <w:sz w:val="22"/>
                <w:szCs w:val="22"/>
              </w:rPr>
              <w:t xml:space="preserve">100%</w:t>
            </w:r>
          </w:p>
        </w:tc>
        <w:tc>
          <w:tcPr>
            <w:tcW w:type="dxa" w:w="2600"/>
            <w:tcBorders>
              <w:top w:val="single" w:color="BFBFBF" w:sz="4"/>
              <w:left w:val="single" w:color="BFBFBF" w:sz="4"/>
              <w:bottom w:val="single" w:color="BFBFBF" w:sz="4"/>
              <w:right w:val="single" w:color="BFBFBF" w:sz="4"/>
            </w:tcBorders>
            <w:shd w:fill="1A5490" w:val="clear"/>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FFFFFF"/>
                <w:sz w:val="22"/>
                <w:szCs w:val="22"/>
              </w:rPr>
              <w:t xml:space="preserve"/>
            </w:r>
          </w:p>
        </w:tc>
      </w:tr>
    </w:tbl>
    <w:p>
      <w:pPr>
        <w:spacing w:after="120" w:before="0" w:line="280"/>
        <w:jc w:val="left"/>
      </w:pPr>
      <w:r>
        <w:rPr>
          <w:rFonts w:ascii="Arial" w:cs="Arial" w:eastAsia="Arial" w:hAnsi="Arial"/>
          <w:b w:val="false"/>
          <w:bCs w:val="false"/>
          <w:i w:val="false"/>
          <w:iCs w:val="false"/>
          <w:color w:val="1A1A1A"/>
          <w:sz w:val="22"/>
          <w:szCs w:val="22"/>
        </w:rPr>
        <w:t xml:space="preserve"> </w:t>
      </w:r>
    </w:p>
    <w:p>
      <w:pPr>
        <w:spacing w:after="120" w:before="0" w:line="280"/>
        <w:jc w:val="left"/>
      </w:pPr>
      <w:r>
        <w:rPr>
          <w:rFonts w:ascii="Arial" w:cs="Arial" w:eastAsia="Arial" w:hAnsi="Arial"/>
          <w:b w:val="false"/>
          <w:bCs w:val="false"/>
          <w:i w:val="false"/>
          <w:iCs w:val="false"/>
          <w:color w:val="1A1A1A"/>
          <w:sz w:val="22"/>
          <w:szCs w:val="22"/>
        </w:rPr>
        <w:t xml:space="preserve">Personnel weighted at 67% because Google.org funds </w:t>
      </w:r>
      <w:r>
        <w:rPr>
          <w:rFonts w:ascii="Arial" w:cs="Arial" w:eastAsia="Arial" w:hAnsi="Arial"/>
          <w:b/>
          <w:bCs/>
          <w:i w:val="false"/>
          <w:iCs w:val="false"/>
          <w:color w:val="1A1A1A"/>
          <w:sz w:val="22"/>
          <w:szCs w:val="22"/>
        </w:rPr>
        <w:t xml:space="preserve">work, not overhead</w:t>
      </w:r>
      <w:r>
        <w:rPr>
          <w:rFonts w:ascii="Arial" w:cs="Arial" w:eastAsia="Arial" w:hAnsi="Arial"/>
          <w:b w:val="false"/>
          <w:bCs w:val="false"/>
          <w:i w:val="false"/>
          <w:iCs w:val="false"/>
          <w:color w:val="1A1A1A"/>
          <w:sz w:val="22"/>
          <w:szCs w:val="22"/>
        </w:rPr>
        <w:t xml:space="preserve">. Indirect capped at 3% matches Google.org’s preferred low-indirect posture (Stanford F&amp;A negotiated at the philanthropic rate, not the federal rate). Cloud budget assumes approximately $30,000 in additional Cloud credits awarded alongside the cash grant (standard Impact Challenge package).</w:t>
      </w:r>
    </w:p>
    <w:p>
      <w:r>
        <w:br w:type="page"/>
      </w:r>
    </w:p>
    <w:p>
      <w:pPr>
        <w:pStyle w:val="Heading1"/>
        <w:spacing w:after="160" w:before="360"/>
      </w:pPr>
      <w:r>
        <w:rPr>
          <w:rFonts w:ascii="Arial" w:cs="Arial" w:eastAsia="Arial" w:hAnsi="Arial"/>
          <w:b/>
          <w:bCs/>
          <w:color w:val="1A5490"/>
          <w:sz w:val="32"/>
          <w:szCs w:val="32"/>
        </w:rPr>
        <w:t xml:space="preserve">3. Google Cloud Services</w:t>
      </w:r>
    </w:p>
    <w:p>
      <w:pPr>
        <w:spacing w:after="120" w:before="0" w:line="280"/>
        <w:jc w:val="left"/>
      </w:pPr>
      <w:r>
        <w:rPr>
          <w:rFonts w:ascii="Arial" w:cs="Arial" w:eastAsia="Arial" w:hAnsi="Arial"/>
          <w:b w:val="false"/>
          <w:bCs w:val="false"/>
          <w:i w:val="false"/>
          <w:iCs w:val="false"/>
          <w:color w:val="1A1A1A"/>
          <w:sz w:val="22"/>
          <w:szCs w:val="22"/>
        </w:rPr>
        <w:t xml:space="preserve">Sous is architected natively on Google Cloud. Every data path, training step, serving endpoint, and compliance control uses a specific GCP service selected for responsible AI principles and clinical-grade data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A5490" w:val="clear"/>
            <w:tcMar>
              <w:top w:type="dxa" w:w="100"/>
              <w:left w:type="dxa" w:w="140"/>
              <w:bottom w:type="dxa" w:w="100"/>
              <w:right w:type="dxa" w:w="140"/>
            </w:tcMar>
            <w:vAlign w:val="top"/>
          </w:tcPr>
          <w:p>
            <w:pPr>
              <w:spacing w:after="40" w:before="0" w:line="280"/>
              <w:jc w:val="left"/>
            </w:pPr>
            <w:r>
              <w:rPr>
                <w:rFonts w:ascii="Arial" w:cs="Arial" w:eastAsia="Arial" w:hAnsi="Arial"/>
                <w:b/>
                <w:bCs/>
                <w:i w:val="false"/>
                <w:iCs w:val="false"/>
                <w:color w:val="FFFFFF"/>
                <w:sz w:val="22"/>
                <w:szCs w:val="22"/>
              </w:rPr>
              <w:t xml:space="preserve">Service</w:t>
            </w:r>
          </w:p>
        </w:tc>
        <w:tc>
          <w:tcPr>
            <w:tcW w:type="dxa" w:w="6360"/>
            <w:tcBorders>
              <w:top w:val="single" w:color="BFBFBF" w:sz="4"/>
              <w:left w:val="single" w:color="BFBFBF" w:sz="4"/>
              <w:bottom w:val="single" w:color="BFBFBF" w:sz="4"/>
              <w:right w:val="single" w:color="BFBFBF" w:sz="4"/>
            </w:tcBorders>
            <w:shd w:fill="1A5490" w:val="clear"/>
            <w:tcMar>
              <w:top w:type="dxa" w:w="100"/>
              <w:left w:type="dxa" w:w="140"/>
              <w:bottom w:type="dxa" w:w="100"/>
              <w:right w:type="dxa" w:w="140"/>
            </w:tcMar>
            <w:vAlign w:val="top"/>
          </w:tcPr>
          <w:p>
            <w:pPr>
              <w:spacing w:after="40" w:before="0" w:line="280"/>
              <w:jc w:val="left"/>
            </w:pPr>
            <w:r>
              <w:rPr>
                <w:rFonts w:ascii="Arial" w:cs="Arial" w:eastAsia="Arial" w:hAnsi="Arial"/>
                <w:b/>
                <w:bCs/>
                <w:i w:val="false"/>
                <w:iCs w:val="false"/>
                <w:color w:val="FFFFFF"/>
                <w:sz w:val="22"/>
                <w:szCs w:val="22"/>
              </w:rPr>
              <w:t xml:space="preserve">Primary Use</w:t>
            </w:r>
          </w:p>
        </w:tc>
      </w:tr>
      <w:tr>
        <w:tc>
          <w:tcPr>
            <w:tcW w:type="dxa" w:w="3000"/>
            <w:tcBorders>
              <w:top w:val="single" w:color="BFBFBF" w:sz="4"/>
              <w:left w:val="single" w:color="BFBFBF" w:sz="4"/>
              <w:bottom w:val="single" w:color="BFBFBF" w:sz="4"/>
              <w:right w:val="single" w:color="BFBFBF" w:sz="4"/>
            </w:tcBorders>
            <w:shd w:fill="F0F5F9" w:val="clear"/>
            <w:tcMar>
              <w:top w:type="dxa" w:w="100"/>
              <w:left w:type="dxa" w:w="140"/>
              <w:bottom w:type="dxa" w:w="100"/>
              <w:right w:type="dxa" w:w="140"/>
            </w:tcMar>
            <w:vAlign w:val="top"/>
          </w:tcPr>
          <w:p>
            <w:pPr>
              <w:spacing w:after="40" w:before="0" w:line="280"/>
              <w:jc w:val="left"/>
            </w:pPr>
            <w:r>
              <w:rPr>
                <w:rFonts w:ascii="Arial" w:cs="Arial" w:eastAsia="Arial" w:hAnsi="Arial"/>
                <w:b/>
                <w:bCs/>
                <w:i w:val="false"/>
                <w:iCs w:val="false"/>
                <w:color w:val="1A1A1A"/>
                <w:sz w:val="22"/>
                <w:szCs w:val="22"/>
              </w:rPr>
              <w:t xml:space="preserve">Vertex AI</w:t>
            </w:r>
          </w:p>
        </w:tc>
        <w:tc>
          <w:tcPr>
            <w:tcW w:type="dxa" w:w="6360"/>
            <w:tcBorders>
              <w:top w:val="single" w:color="BFBFBF" w:sz="4"/>
              <w:left w:val="single" w:color="BFBFBF" w:sz="4"/>
              <w:bottom w:val="single" w:color="BFBFBF" w:sz="4"/>
              <w:right w:val="single" w:color="BFBFBF" w:sz="4"/>
            </w:tcBorders>
            <w:shd w:fill="F0F5F9" w:val="clear"/>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TDA model training, endpoint deployment for meal-recommendation API, Vertex AI Experiments for reproducibility</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before="0" w:line="280"/>
              <w:jc w:val="left"/>
            </w:pPr>
            <w:r>
              <w:rPr>
                <w:rFonts w:ascii="Arial" w:cs="Arial" w:eastAsia="Arial" w:hAnsi="Arial"/>
                <w:b/>
                <w:bCs/>
                <w:i w:val="false"/>
                <w:iCs w:val="false"/>
                <w:color w:val="1A1A1A"/>
                <w:sz w:val="22"/>
                <w:szCs w:val="22"/>
              </w:rPr>
              <w:t xml:space="preserve">Vertex AI Model Garden</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Starting points from open-source foundation models (including MedGemma 4B/27B for clinical summary generation)</w:t>
            </w:r>
          </w:p>
        </w:tc>
      </w:tr>
      <w:tr>
        <w:tc>
          <w:tcPr>
            <w:tcW w:type="dxa" w:w="3000"/>
            <w:tcBorders>
              <w:top w:val="single" w:color="BFBFBF" w:sz="4"/>
              <w:left w:val="single" w:color="BFBFBF" w:sz="4"/>
              <w:bottom w:val="single" w:color="BFBFBF" w:sz="4"/>
              <w:right w:val="single" w:color="BFBFBF" w:sz="4"/>
            </w:tcBorders>
            <w:shd w:fill="F0F5F9" w:val="clear"/>
            <w:tcMar>
              <w:top w:type="dxa" w:w="100"/>
              <w:left w:type="dxa" w:w="140"/>
              <w:bottom w:type="dxa" w:w="100"/>
              <w:right w:type="dxa" w:w="140"/>
            </w:tcMar>
            <w:vAlign w:val="top"/>
          </w:tcPr>
          <w:p>
            <w:pPr>
              <w:spacing w:after="40" w:before="0" w:line="280"/>
              <w:jc w:val="left"/>
            </w:pPr>
            <w:r>
              <w:rPr>
                <w:rFonts w:ascii="Arial" w:cs="Arial" w:eastAsia="Arial" w:hAnsi="Arial"/>
                <w:b/>
                <w:bCs/>
                <w:i w:val="false"/>
                <w:iCs w:val="false"/>
                <w:color w:val="1A1A1A"/>
                <w:sz w:val="22"/>
                <w:szCs w:val="22"/>
              </w:rPr>
              <w:t xml:space="preserve">BigQuery</w:t>
            </w:r>
          </w:p>
        </w:tc>
        <w:tc>
          <w:tcPr>
            <w:tcW w:type="dxa" w:w="6360"/>
            <w:tcBorders>
              <w:top w:val="single" w:color="BFBFBF" w:sz="4"/>
              <w:left w:val="single" w:color="BFBFBF" w:sz="4"/>
              <w:bottom w:val="single" w:color="BFBFBF" w:sz="4"/>
              <w:right w:val="single" w:color="BFBFBF" w:sz="4"/>
            </w:tcBorders>
            <w:shd w:fill="F0F5F9" w:val="clear"/>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Flavor-nutrient-glycemic atlas data warehouse; partitioned tables by cuisine × ingredient × molecule</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before="0" w:line="280"/>
              <w:jc w:val="left"/>
            </w:pPr>
            <w:r>
              <w:rPr>
                <w:rFonts w:ascii="Arial" w:cs="Arial" w:eastAsia="Arial" w:hAnsi="Arial"/>
                <w:b/>
                <w:bCs/>
                <w:i w:val="false"/>
                <w:iCs w:val="false"/>
                <w:color w:val="1A1A1A"/>
                <w:sz w:val="22"/>
                <w:szCs w:val="22"/>
              </w:rPr>
              <w:t xml:space="preserve">BigQuery ML</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Rapid baseline models for glycemic response prediction before TDA layers</w:t>
            </w:r>
          </w:p>
        </w:tc>
      </w:tr>
      <w:tr>
        <w:tc>
          <w:tcPr>
            <w:tcW w:type="dxa" w:w="3000"/>
            <w:tcBorders>
              <w:top w:val="single" w:color="BFBFBF" w:sz="4"/>
              <w:left w:val="single" w:color="BFBFBF" w:sz="4"/>
              <w:bottom w:val="single" w:color="BFBFBF" w:sz="4"/>
              <w:right w:val="single" w:color="BFBFBF" w:sz="4"/>
            </w:tcBorders>
            <w:shd w:fill="F0F5F9" w:val="clear"/>
            <w:tcMar>
              <w:top w:type="dxa" w:w="100"/>
              <w:left w:type="dxa" w:w="140"/>
              <w:bottom w:type="dxa" w:w="100"/>
              <w:right w:type="dxa" w:w="140"/>
            </w:tcMar>
            <w:vAlign w:val="top"/>
          </w:tcPr>
          <w:p>
            <w:pPr>
              <w:spacing w:after="40" w:before="0" w:line="280"/>
              <w:jc w:val="left"/>
            </w:pPr>
            <w:r>
              <w:rPr>
                <w:rFonts w:ascii="Arial" w:cs="Arial" w:eastAsia="Arial" w:hAnsi="Arial"/>
                <w:b/>
                <w:bCs/>
                <w:i w:val="false"/>
                <w:iCs w:val="false"/>
                <w:color w:val="1A1A1A"/>
                <w:sz w:val="22"/>
                <w:szCs w:val="22"/>
              </w:rPr>
              <w:t xml:space="preserve">Cloud Storage</w:t>
            </w:r>
          </w:p>
        </w:tc>
        <w:tc>
          <w:tcPr>
            <w:tcW w:type="dxa" w:w="6360"/>
            <w:tcBorders>
              <w:top w:val="single" w:color="BFBFBF" w:sz="4"/>
              <w:left w:val="single" w:color="BFBFBF" w:sz="4"/>
              <w:bottom w:val="single" w:color="BFBFBF" w:sz="4"/>
              <w:right w:val="single" w:color="BFBFBF" w:sz="4"/>
            </w:tcBorders>
            <w:shd w:fill="F0F5F9" w:val="clear"/>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Raw dataset landing zone (FlavorDB, USDA SR, ICMR-NIN, CGM exports) with lifecycle policies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before="0" w:line="280"/>
              <w:jc w:val="left"/>
            </w:pPr>
            <w:r>
              <w:rPr>
                <w:rFonts w:ascii="Arial" w:cs="Arial" w:eastAsia="Arial" w:hAnsi="Arial"/>
                <w:b/>
                <w:bCs/>
                <w:i w:val="false"/>
                <w:iCs w:val="false"/>
                <w:color w:val="1A1A1A"/>
                <w:sz w:val="22"/>
                <w:szCs w:val="22"/>
              </w:rPr>
              <w:t xml:space="preserve">Cloud Dataflow</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ETL pipelines from heterogeneous dataset schemas into BigQuery canonical form</w:t>
            </w:r>
          </w:p>
        </w:tc>
      </w:tr>
      <w:tr>
        <w:tc>
          <w:tcPr>
            <w:tcW w:type="dxa" w:w="3000"/>
            <w:tcBorders>
              <w:top w:val="single" w:color="BFBFBF" w:sz="4"/>
              <w:left w:val="single" w:color="BFBFBF" w:sz="4"/>
              <w:bottom w:val="single" w:color="BFBFBF" w:sz="4"/>
              <w:right w:val="single" w:color="BFBFBF" w:sz="4"/>
            </w:tcBorders>
            <w:shd w:fill="F0F5F9" w:val="clear"/>
            <w:tcMar>
              <w:top w:type="dxa" w:w="100"/>
              <w:left w:type="dxa" w:w="140"/>
              <w:bottom w:type="dxa" w:w="100"/>
              <w:right w:type="dxa" w:w="140"/>
            </w:tcMar>
            <w:vAlign w:val="top"/>
          </w:tcPr>
          <w:p>
            <w:pPr>
              <w:spacing w:after="40" w:before="0" w:line="280"/>
              <w:jc w:val="left"/>
            </w:pPr>
            <w:r>
              <w:rPr>
                <w:rFonts w:ascii="Arial" w:cs="Arial" w:eastAsia="Arial" w:hAnsi="Arial"/>
                <w:b/>
                <w:bCs/>
                <w:i w:val="false"/>
                <w:iCs w:val="false"/>
                <w:color w:val="1A1A1A"/>
                <w:sz w:val="22"/>
                <w:szCs w:val="22"/>
              </w:rPr>
              <w:t xml:space="preserve">Compute Engine (A100/H100 GPU)</w:t>
            </w:r>
          </w:p>
        </w:tc>
        <w:tc>
          <w:tcPr>
            <w:tcW w:type="dxa" w:w="6360"/>
            <w:tcBorders>
              <w:top w:val="single" w:color="BFBFBF" w:sz="4"/>
              <w:left w:val="single" w:color="BFBFBF" w:sz="4"/>
              <w:bottom w:val="single" w:color="BFBFBF" w:sz="4"/>
              <w:right w:val="single" w:color="BFBFBF" w:sz="4"/>
            </w:tcBorders>
            <w:shd w:fill="F0F5F9" w:val="clear"/>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TDA Mapper + persistent homology on high-dimensional flavor manifolds (giotto-tda, GUDHI)</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before="0" w:line="280"/>
              <w:jc w:val="left"/>
            </w:pPr>
            <w:r>
              <w:rPr>
                <w:rFonts w:ascii="Arial" w:cs="Arial" w:eastAsia="Arial" w:hAnsi="Arial"/>
                <w:b/>
                <w:bCs/>
                <w:i w:val="false"/>
                <w:iCs w:val="false"/>
                <w:color w:val="1A1A1A"/>
                <w:sz w:val="22"/>
                <w:szCs w:val="22"/>
              </w:rPr>
              <w:t xml:space="preserve">Cloud Run</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Sous meal-recommendation API for NOURISH Clinical Portal integration</w:t>
            </w:r>
          </w:p>
        </w:tc>
      </w:tr>
      <w:tr>
        <w:tc>
          <w:tcPr>
            <w:tcW w:type="dxa" w:w="3000"/>
            <w:tcBorders>
              <w:top w:val="single" w:color="BFBFBF" w:sz="4"/>
              <w:left w:val="single" w:color="BFBFBF" w:sz="4"/>
              <w:bottom w:val="single" w:color="BFBFBF" w:sz="4"/>
              <w:right w:val="single" w:color="BFBFBF" w:sz="4"/>
            </w:tcBorders>
            <w:shd w:fill="F0F5F9" w:val="clear"/>
            <w:tcMar>
              <w:top w:type="dxa" w:w="100"/>
              <w:left w:type="dxa" w:w="140"/>
              <w:bottom w:type="dxa" w:w="100"/>
              <w:right w:type="dxa" w:w="140"/>
            </w:tcMar>
            <w:vAlign w:val="top"/>
          </w:tcPr>
          <w:p>
            <w:pPr>
              <w:spacing w:after="40" w:before="0" w:line="280"/>
              <w:jc w:val="left"/>
            </w:pPr>
            <w:r>
              <w:rPr>
                <w:rFonts w:ascii="Arial" w:cs="Arial" w:eastAsia="Arial" w:hAnsi="Arial"/>
                <w:b/>
                <w:bCs/>
                <w:i w:val="false"/>
                <w:iCs w:val="false"/>
                <w:color w:val="1A1A1A"/>
                <w:sz w:val="22"/>
                <w:szCs w:val="22"/>
              </w:rPr>
              <w:t xml:space="preserve">Cloud Healthcare API</w:t>
            </w:r>
          </w:p>
        </w:tc>
        <w:tc>
          <w:tcPr>
            <w:tcW w:type="dxa" w:w="6360"/>
            <w:tcBorders>
              <w:top w:val="single" w:color="BFBFBF" w:sz="4"/>
              <w:left w:val="single" w:color="BFBFBF" w:sz="4"/>
              <w:bottom w:val="single" w:color="BFBFBF" w:sz="4"/>
              <w:right w:val="single" w:color="BFBFBF" w:sz="4"/>
            </w:tcBorders>
            <w:shd w:fill="F0F5F9" w:val="clear"/>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De-identification of CGM data before model ingestion</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before="0" w:line="280"/>
              <w:jc w:val="left"/>
            </w:pPr>
            <w:r>
              <w:rPr>
                <w:rFonts w:ascii="Arial" w:cs="Arial" w:eastAsia="Arial" w:hAnsi="Arial"/>
                <w:b/>
                <w:bCs/>
                <w:i w:val="false"/>
                <w:iCs w:val="false"/>
                <w:color w:val="1A1A1A"/>
                <w:sz w:val="22"/>
                <w:szCs w:val="22"/>
              </w:rPr>
              <w:t xml:space="preserve">Identity Platform + IAM</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Stanford SSO integration for clinical portal; role-based data access</w:t>
            </w:r>
          </w:p>
        </w:tc>
      </w:tr>
      <w:tr>
        <w:tc>
          <w:tcPr>
            <w:tcW w:type="dxa" w:w="3000"/>
            <w:tcBorders>
              <w:top w:val="single" w:color="BFBFBF" w:sz="4"/>
              <w:left w:val="single" w:color="BFBFBF" w:sz="4"/>
              <w:bottom w:val="single" w:color="BFBFBF" w:sz="4"/>
              <w:right w:val="single" w:color="BFBFBF" w:sz="4"/>
            </w:tcBorders>
            <w:shd w:fill="F0F5F9" w:val="clear"/>
            <w:tcMar>
              <w:top w:type="dxa" w:w="100"/>
              <w:left w:type="dxa" w:w="140"/>
              <w:bottom w:type="dxa" w:w="100"/>
              <w:right w:type="dxa" w:w="140"/>
            </w:tcMar>
            <w:vAlign w:val="top"/>
          </w:tcPr>
          <w:p>
            <w:pPr>
              <w:spacing w:after="40" w:before="0" w:line="280"/>
              <w:jc w:val="left"/>
            </w:pPr>
            <w:r>
              <w:rPr>
                <w:rFonts w:ascii="Arial" w:cs="Arial" w:eastAsia="Arial" w:hAnsi="Arial"/>
                <w:b/>
                <w:bCs/>
                <w:i w:val="false"/>
                <w:iCs w:val="false"/>
                <w:color w:val="1A1A1A"/>
                <w:sz w:val="22"/>
                <w:szCs w:val="22"/>
              </w:rPr>
              <w:t xml:space="preserve">Secret Manager</w:t>
            </w:r>
          </w:p>
        </w:tc>
        <w:tc>
          <w:tcPr>
            <w:tcW w:type="dxa" w:w="6360"/>
            <w:tcBorders>
              <w:top w:val="single" w:color="BFBFBF" w:sz="4"/>
              <w:left w:val="single" w:color="BFBFBF" w:sz="4"/>
              <w:bottom w:val="single" w:color="BFBFBF" w:sz="4"/>
              <w:right w:val="single" w:color="BFBFBF" w:sz="4"/>
            </w:tcBorders>
            <w:shd w:fill="F0F5F9" w:val="clear"/>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API keys, PHI-adjacent credentials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before="0" w:line="280"/>
              <w:jc w:val="left"/>
            </w:pPr>
            <w:r>
              <w:rPr>
                <w:rFonts w:ascii="Arial" w:cs="Arial" w:eastAsia="Arial" w:hAnsi="Arial"/>
                <w:b/>
                <w:bCs/>
                <w:i w:val="false"/>
                <w:iCs w:val="false"/>
                <w:color w:val="1A1A1A"/>
                <w:sz w:val="22"/>
                <w:szCs w:val="22"/>
              </w:rPr>
              <w:t xml:space="preserve">Cloud Monitoring + Logging</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Pipeline observability, model drift detection</w:t>
            </w:r>
          </w:p>
        </w:tc>
      </w:tr>
      <w:tr>
        <w:tc>
          <w:tcPr>
            <w:tcW w:type="dxa" w:w="3000"/>
            <w:tcBorders>
              <w:top w:val="single" w:color="BFBFBF" w:sz="4"/>
              <w:left w:val="single" w:color="BFBFBF" w:sz="4"/>
              <w:bottom w:val="single" w:color="BFBFBF" w:sz="4"/>
              <w:right w:val="single" w:color="BFBFBF" w:sz="4"/>
            </w:tcBorders>
            <w:shd w:fill="F0F5F9" w:val="clear"/>
            <w:tcMar>
              <w:top w:type="dxa" w:w="100"/>
              <w:left w:type="dxa" w:w="140"/>
              <w:bottom w:type="dxa" w:w="100"/>
              <w:right w:type="dxa" w:w="140"/>
            </w:tcMar>
            <w:vAlign w:val="top"/>
          </w:tcPr>
          <w:p>
            <w:pPr>
              <w:spacing w:after="40" w:before="0" w:line="280"/>
              <w:jc w:val="left"/>
            </w:pPr>
            <w:r>
              <w:rPr>
                <w:rFonts w:ascii="Arial" w:cs="Arial" w:eastAsia="Arial" w:hAnsi="Arial"/>
                <w:b/>
                <w:bCs/>
                <w:i w:val="false"/>
                <w:iCs w:val="false"/>
                <w:color w:val="1A1A1A"/>
                <w:sz w:val="22"/>
                <w:szCs w:val="22"/>
              </w:rPr>
              <w:t xml:space="preserve">Cloud DLP (Data Loss Prevention)</w:t>
            </w:r>
          </w:p>
        </w:tc>
        <w:tc>
          <w:tcPr>
            <w:tcW w:type="dxa" w:w="6360"/>
            <w:tcBorders>
              <w:top w:val="single" w:color="BFBFBF" w:sz="4"/>
              <w:left w:val="single" w:color="BFBFBF" w:sz="4"/>
              <w:bottom w:val="single" w:color="BFBFBF" w:sz="4"/>
              <w:right w:val="single" w:color="BFBFBF" w:sz="4"/>
            </w:tcBorders>
            <w:shd w:fill="F0F5F9" w:val="clear"/>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Automated PII scanning on ingestion</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before="0" w:line="280"/>
              <w:jc w:val="left"/>
            </w:pPr>
            <w:r>
              <w:rPr>
                <w:rFonts w:ascii="Arial" w:cs="Arial" w:eastAsia="Arial" w:hAnsi="Arial"/>
                <w:b/>
                <w:bCs/>
                <w:i w:val="false"/>
                <w:iCs w:val="false"/>
                <w:color w:val="1A1A1A"/>
                <w:sz w:val="22"/>
                <w:szCs w:val="22"/>
              </w:rPr>
              <w:t xml:space="preserve">Looker Studio</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Clinical dashboards for NOURISH team + grant-reporting metrics</w:t>
            </w:r>
          </w:p>
        </w:tc>
      </w:tr>
      <w:tr>
        <w:tc>
          <w:tcPr>
            <w:tcW w:type="dxa" w:w="3000"/>
            <w:tcBorders>
              <w:top w:val="single" w:color="BFBFBF" w:sz="4"/>
              <w:left w:val="single" w:color="BFBFBF" w:sz="4"/>
              <w:bottom w:val="single" w:color="BFBFBF" w:sz="4"/>
              <w:right w:val="single" w:color="BFBFBF" w:sz="4"/>
            </w:tcBorders>
            <w:shd w:fill="F0F5F9" w:val="clear"/>
            <w:tcMar>
              <w:top w:type="dxa" w:w="100"/>
              <w:left w:type="dxa" w:w="140"/>
              <w:bottom w:type="dxa" w:w="100"/>
              <w:right w:type="dxa" w:w="140"/>
            </w:tcMar>
            <w:vAlign w:val="top"/>
          </w:tcPr>
          <w:p>
            <w:pPr>
              <w:spacing w:after="40" w:before="0" w:line="280"/>
              <w:jc w:val="left"/>
            </w:pPr>
            <w:r>
              <w:rPr>
                <w:rFonts w:ascii="Arial" w:cs="Arial" w:eastAsia="Arial" w:hAnsi="Arial"/>
                <w:b/>
                <w:bCs/>
                <w:i w:val="false"/>
                <w:iCs w:val="false"/>
                <w:color w:val="1A1A1A"/>
                <w:sz w:val="22"/>
                <w:szCs w:val="22"/>
              </w:rPr>
              <w:t xml:space="preserve">Pub/Sub</w:t>
            </w:r>
          </w:p>
        </w:tc>
        <w:tc>
          <w:tcPr>
            <w:tcW w:type="dxa" w:w="6360"/>
            <w:tcBorders>
              <w:top w:val="single" w:color="BFBFBF" w:sz="4"/>
              <w:left w:val="single" w:color="BFBFBF" w:sz="4"/>
              <w:bottom w:val="single" w:color="BFBFBF" w:sz="4"/>
              <w:right w:val="single" w:color="BFBFBF" w:sz="4"/>
            </w:tcBorders>
            <w:shd w:fill="F0F5F9" w:val="clear"/>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Real-time CGM event streaming into BigQuery</w:t>
            </w:r>
          </w:p>
        </w:tc>
      </w:tr>
    </w:tbl>
    <w:p>
      <w:pPr>
        <w:spacing w:after="120" w:before="0" w:line="280"/>
        <w:jc w:val="left"/>
      </w:pPr>
      <w:r>
        <w:rPr>
          <w:rFonts w:ascii="Arial" w:cs="Arial" w:eastAsia="Arial" w:hAnsi="Arial"/>
          <w:b w:val="false"/>
          <w:bCs w:val="false"/>
          <w:i w:val="false"/>
          <w:iCs w:val="false"/>
          <w:color w:val="1A1A1A"/>
          <w:sz w:val="22"/>
          <w:szCs w:val="22"/>
        </w:rPr>
        <w:t xml:space="preserve"> </w:t>
      </w:r>
    </w:p>
    <w:p>
      <w:pPr>
        <w:spacing w:after="120" w:before="0" w:line="280"/>
        <w:jc w:val="left"/>
      </w:pPr>
      <w:r>
        <w:rPr>
          <w:rFonts w:ascii="Arial" w:cs="Arial" w:eastAsia="Arial" w:hAnsi="Arial"/>
          <w:b w:val="false"/>
          <w:bCs w:val="false"/>
          <w:i w:val="false"/>
          <w:iCs w:val="false"/>
          <w:color w:val="1A1A1A"/>
          <w:sz w:val="22"/>
          <w:szCs w:val="22"/>
        </w:rPr>
        <w:t xml:space="preserve">The </w:t>
      </w:r>
      <w:r>
        <w:rPr>
          <w:rFonts w:ascii="Arial" w:cs="Arial" w:eastAsia="Arial" w:hAnsi="Arial"/>
          <w:b/>
          <w:bCs/>
          <w:i w:val="false"/>
          <w:iCs w:val="false"/>
          <w:color w:val="1A1A1A"/>
          <w:sz w:val="22"/>
          <w:szCs w:val="22"/>
        </w:rPr>
        <w:t xml:space="preserve">Cloud Healthcare API + Cloud DLP</w:t>
      </w:r>
      <w:r>
        <w:rPr>
          <w:rFonts w:ascii="Arial" w:cs="Arial" w:eastAsia="Arial" w:hAnsi="Arial"/>
          <w:b w:val="false"/>
          <w:bCs w:val="false"/>
          <w:i w:val="false"/>
          <w:iCs w:val="false"/>
          <w:color w:val="1A1A1A"/>
          <w:sz w:val="22"/>
          <w:szCs w:val="22"/>
        </w:rPr>
        <w:t xml:space="preserve"> choices are deliberate: they signal to reviewers that responsible data handling is </w:t>
      </w:r>
      <w:r>
        <w:rPr>
          <w:rFonts w:ascii="Arial" w:cs="Arial" w:eastAsia="Arial" w:hAnsi="Arial"/>
          <w:b w:val="false"/>
          <w:bCs w:val="false"/>
          <w:i/>
          <w:iCs/>
          <w:color w:val="1A1A1A"/>
          <w:sz w:val="22"/>
          <w:szCs w:val="22"/>
        </w:rPr>
        <w:t xml:space="preserve">architecturally baked in</w:t>
      </w:r>
      <w:r>
        <w:rPr>
          <w:rFonts w:ascii="Arial" w:cs="Arial" w:eastAsia="Arial" w:hAnsi="Arial"/>
          <w:b w:val="false"/>
          <w:bCs w:val="false"/>
          <w:i w:val="false"/>
          <w:iCs w:val="false"/>
          <w:color w:val="1A1A1A"/>
          <w:sz w:val="22"/>
          <w:szCs w:val="22"/>
        </w:rPr>
        <w:t xml:space="preserve">, not an afterthought. De-identification happens at ingestion, before any modeling surface touches PHI.</w:t>
      </w:r>
    </w:p>
    <w:p>
      <w:r>
        <w:br w:type="page"/>
      </w:r>
    </w:p>
    <w:p>
      <w:pPr>
        <w:pStyle w:val="Heading1"/>
        <w:spacing w:after="160" w:before="360"/>
      </w:pPr>
      <w:r>
        <w:rPr>
          <w:rFonts w:ascii="Arial" w:cs="Arial" w:eastAsia="Arial" w:hAnsi="Arial"/>
          <w:b/>
          <w:bCs/>
          <w:color w:val="1A5490"/>
          <w:sz w:val="32"/>
          <w:szCs w:val="32"/>
        </w:rPr>
        <w:t xml:space="preserve">4. Three Key Differentiators vs. Existing Nutrition AI</w:t>
      </w:r>
    </w:p>
    <w:p>
      <w:pPr>
        <w:pStyle w:val="Heading2"/>
        <w:spacing w:after="120" w:before="240"/>
      </w:pPr>
      <w:r>
        <w:rPr>
          <w:rFonts w:ascii="Arial" w:cs="Arial" w:eastAsia="Arial" w:hAnsi="Arial"/>
          <w:b/>
          <w:bCs/>
          <w:color w:val="1A1A1A"/>
          <w:sz w:val="26"/>
          <w:szCs w:val="26"/>
        </w:rPr>
        <w:t xml:space="preserve">Differentiator 1 — Topological Data Analysis on Flavor-Molecule Networks</w:t>
      </w:r>
    </w:p>
    <w:p>
      <w:pPr>
        <w:spacing w:after="120" w:before="0" w:line="280"/>
        <w:jc w:val="left"/>
      </w:pPr>
      <w:r>
        <w:rPr>
          <w:rFonts w:ascii="Arial" w:cs="Arial" w:eastAsia="Arial" w:hAnsi="Arial"/>
          <w:b w:val="false"/>
          <w:bCs w:val="false"/>
          <w:i w:val="false"/>
          <w:iCs w:val="false"/>
          <w:color w:val="1A1A1A"/>
          <w:sz w:val="22"/>
          <w:szCs w:val="22"/>
        </w:rPr>
        <w:t xml:space="preserve">Twin Health, Virta, Nutrisense, and Foodsmart all use </w:t>
      </w:r>
      <w:r>
        <w:rPr>
          <w:rFonts w:ascii="Arial" w:cs="Arial" w:eastAsia="Arial" w:hAnsi="Arial"/>
          <w:b w:val="false"/>
          <w:bCs w:val="false"/>
          <w:i/>
          <w:iCs/>
          <w:color w:val="1A1A1A"/>
          <w:sz w:val="22"/>
          <w:szCs w:val="22"/>
        </w:rPr>
        <w:t xml:space="preserve">neural-network embedding or rule-based recommendation</w:t>
      </w:r>
      <w:r>
        <w:rPr>
          <w:rFonts w:ascii="Arial" w:cs="Arial" w:eastAsia="Arial" w:hAnsi="Arial"/>
          <w:b w:val="false"/>
          <w:bCs w:val="false"/>
          <w:i w:val="false"/>
          <w:iCs w:val="false"/>
          <w:color w:val="1A1A1A"/>
          <w:sz w:val="22"/>
          <w:szCs w:val="22"/>
        </w:rPr>
        <w:t xml:space="preserve">. None construct topological manifolds of flavor chemistry. TDA uniquely preserves the geometric structure of “what makes a dish culturally coherent” — a Biryani variant within the same homological class </w:t>
      </w:r>
      <w:r>
        <w:rPr>
          <w:rFonts w:ascii="Arial" w:cs="Arial" w:eastAsia="Arial" w:hAnsi="Arial"/>
          <w:b w:val="false"/>
          <w:bCs w:val="false"/>
          <w:i/>
          <w:iCs/>
          <w:color w:val="1A1A1A"/>
          <w:sz w:val="22"/>
          <w:szCs w:val="22"/>
        </w:rPr>
        <w:t xml:space="preserve">tastes like Biryani</w:t>
      </w:r>
      <w:r>
        <w:rPr>
          <w:rFonts w:ascii="Arial" w:cs="Arial" w:eastAsia="Arial" w:hAnsi="Arial"/>
          <w:b w:val="false"/>
          <w:bCs w:val="false"/>
          <w:i w:val="false"/>
          <w:iCs w:val="false"/>
          <w:color w:val="1A1A1A"/>
          <w:sz w:val="22"/>
          <w:szCs w:val="22"/>
        </w:rPr>
        <w:t xml:space="preserve">; a variant outside the class tastes foreign. This is the mathematical formalization of the cultural-food-modification principle that all ethnographic research on dietary intervention adherence validates (a patient told to replace rice with quinoa abandons the program; a patient told to cook the same Biryani with brown basmati and more vegetables continues). No other nutrition-AI system operationalizes this rigorously.</w:t>
      </w:r>
    </w:p>
    <w:p>
      <w:pPr>
        <w:pStyle w:val="Heading2"/>
        <w:spacing w:after="120" w:before="240"/>
      </w:pPr>
      <w:r>
        <w:rPr>
          <w:rFonts w:ascii="Arial" w:cs="Arial" w:eastAsia="Arial" w:hAnsi="Arial"/>
          <w:b/>
          <w:bCs/>
          <w:color w:val="1A1A1A"/>
          <w:sz w:val="26"/>
          <w:szCs w:val="26"/>
        </w:rPr>
        <w:t xml:space="preserve">Differentiator 2 — Open Foundational Dataset</w:t>
      </w:r>
    </w:p>
    <w:p>
      <w:pPr>
        <w:spacing w:after="120" w:before="0" w:line="280"/>
        <w:jc w:val="left"/>
      </w:pPr>
      <w:r>
        <w:rPr>
          <w:rFonts w:ascii="Arial" w:cs="Arial" w:eastAsia="Arial" w:hAnsi="Arial"/>
          <w:b w:val="false"/>
          <w:bCs w:val="false"/>
          <w:i w:val="false"/>
          <w:iCs w:val="false"/>
          <w:color w:val="1A1A1A"/>
          <w:sz w:val="22"/>
          <w:szCs w:val="22"/>
        </w:rPr>
        <w:t xml:space="preserve">Twin Health’s model and data are closed. Virta’s metabolic data is closed. Nutrisense’s glucose-food database is closed. </w:t>
      </w:r>
      <w:r>
        <w:rPr>
          <w:rFonts w:ascii="Arial" w:cs="Arial" w:eastAsia="Arial" w:hAnsi="Arial"/>
          <w:b/>
          <w:bCs/>
          <w:i w:val="false"/>
          <w:iCs w:val="false"/>
          <w:color w:val="1A1A1A"/>
          <w:sz w:val="22"/>
          <w:szCs w:val="22"/>
        </w:rPr>
        <w:t xml:space="preserve">Sous releases the entire flavor-nutrient-glycemic atlas under CC-BY-SA</w:t>
      </w:r>
      <w:r>
        <w:rPr>
          <w:rFonts w:ascii="Arial" w:cs="Arial" w:eastAsia="Arial" w:hAnsi="Arial"/>
          <w:b w:val="false"/>
          <w:bCs w:val="false"/>
          <w:i w:val="false"/>
          <w:iCs w:val="false"/>
          <w:color w:val="1A1A1A"/>
          <w:sz w:val="22"/>
          <w:szCs w:val="22"/>
        </w:rPr>
        <w:t xml:space="preserve">, and open-weights models on Hugging Face. This converts a private commercial asset into a </w:t>
      </w:r>
      <w:r>
        <w:rPr>
          <w:rFonts w:ascii="Arial" w:cs="Arial" w:eastAsia="Arial" w:hAnsi="Arial"/>
          <w:b/>
          <w:bCs/>
          <w:i w:val="false"/>
          <w:iCs w:val="false"/>
          <w:color w:val="1A1A1A"/>
          <w:sz w:val="22"/>
          <w:szCs w:val="22"/>
        </w:rPr>
        <w:t xml:space="preserve">public scientific good</w:t>
      </w:r>
      <w:r>
        <w:rPr>
          <w:rFonts w:ascii="Arial" w:cs="Arial" w:eastAsia="Arial" w:hAnsi="Arial"/>
          <w:b w:val="false"/>
          <w:bCs w:val="false"/>
          <w:i w:val="false"/>
          <w:iCs w:val="false"/>
          <w:color w:val="1A1A1A"/>
          <w:sz w:val="22"/>
          <w:szCs w:val="22"/>
        </w:rPr>
        <w:t xml:space="preserve"> — matching Google.org’s explicit preference for open-source releases and foundational datasets that “enable future AI use cases.” Downstream: any clinical team, any researcher, any app developer can build on the atlas; NOURISH + Sous remain the reference implementation but the scientific knowledge is non-rivalrous.</w:t>
      </w:r>
    </w:p>
    <w:p>
      <w:pPr>
        <w:pStyle w:val="Heading2"/>
        <w:spacing w:after="120" w:before="240"/>
      </w:pPr>
      <w:r>
        <w:rPr>
          <w:rFonts w:ascii="Arial" w:cs="Arial" w:eastAsia="Arial" w:hAnsi="Arial"/>
          <w:b/>
          <w:bCs/>
          <w:color w:val="1A1A1A"/>
          <w:sz w:val="26"/>
          <w:szCs w:val="26"/>
        </w:rPr>
        <w:t xml:space="preserve">Differentiator 3 — Clinical-Integration Substrate, Not Direct-to-Consumer</w:t>
      </w:r>
    </w:p>
    <w:p>
      <w:pPr>
        <w:spacing w:after="120" w:before="0" w:line="280"/>
        <w:jc w:val="left"/>
      </w:pPr>
      <w:r>
        <w:rPr>
          <w:rFonts w:ascii="Arial" w:cs="Arial" w:eastAsia="Arial" w:hAnsi="Arial"/>
          <w:b w:val="false"/>
          <w:bCs w:val="false"/>
          <w:i w:val="false"/>
          <w:iCs w:val="false"/>
          <w:color w:val="1A1A1A"/>
          <w:sz w:val="22"/>
          <w:szCs w:val="22"/>
        </w:rPr>
        <w:t xml:space="preserve">Twin Health, Nutrisense, Hello Heart require </w:t>
      </w:r>
      <w:r>
        <w:rPr>
          <w:rFonts w:ascii="Arial" w:cs="Arial" w:eastAsia="Arial" w:hAnsi="Arial"/>
          <w:b w:val="false"/>
          <w:bCs w:val="false"/>
          <w:i/>
          <w:iCs/>
          <w:color w:val="1A1A1A"/>
          <w:sz w:val="22"/>
          <w:szCs w:val="22"/>
        </w:rPr>
        <w:t xml:space="preserve">consumer acquisition and retention</w:t>
      </w:r>
      <w:r>
        <w:rPr>
          <w:rFonts w:ascii="Arial" w:cs="Arial" w:eastAsia="Arial" w:hAnsi="Arial"/>
          <w:b w:val="false"/>
          <w:bCs w:val="false"/>
          <w:i w:val="false"/>
          <w:iCs w:val="false"/>
          <w:color w:val="1A1A1A"/>
          <w:sz w:val="22"/>
          <w:szCs w:val="22"/>
        </w:rPr>
        <w:t xml:space="preserve">; they compete for attention in the App Store and spend heavily on CAC. Sous deploys through the </w:t>
      </w:r>
      <w:r>
        <w:rPr>
          <w:rFonts w:ascii="Arial" w:cs="Arial" w:eastAsia="Arial" w:hAnsi="Arial"/>
          <w:b/>
          <w:bCs/>
          <w:i w:val="false"/>
          <w:iCs w:val="false"/>
          <w:color w:val="1A1A1A"/>
          <w:sz w:val="22"/>
          <w:szCs w:val="22"/>
        </w:rPr>
        <w:t xml:space="preserve">NOURISH Clinical Integration Portal</w:t>
      </w:r>
      <w:r>
        <w:rPr>
          <w:rFonts w:ascii="Arial" w:cs="Arial" w:eastAsia="Arial" w:hAnsi="Arial"/>
          <w:b w:val="false"/>
          <w:bCs w:val="false"/>
          <w:i w:val="false"/>
          <w:iCs w:val="false"/>
          <w:color w:val="1A1A1A"/>
          <w:sz w:val="22"/>
          <w:szCs w:val="22"/>
        </w:rPr>
        <w:t xml:space="preserve"> — the point-of-care handoff from physician to patient at the moment of T2D diagnosis. This is an </w:t>
      </w:r>
      <w:r>
        <w:rPr>
          <w:rFonts w:ascii="Arial" w:cs="Arial" w:eastAsia="Arial" w:hAnsi="Arial"/>
          <w:b/>
          <w:bCs/>
          <w:i/>
          <w:iCs/>
          <w:color w:val="1A1A1A"/>
          <w:sz w:val="22"/>
          <w:szCs w:val="22"/>
        </w:rPr>
        <w:t xml:space="preserve">opt-out distribution pattern</w:t>
      </w:r>
      <w:r>
        <w:rPr>
          <w:rFonts w:ascii="Arial" w:cs="Arial" w:eastAsia="Arial" w:hAnsi="Arial"/>
          <w:b w:val="false"/>
          <w:bCs w:val="false"/>
          <w:i w:val="false"/>
          <w:iCs w:val="false"/>
          <w:color w:val="1A1A1A"/>
          <w:sz w:val="22"/>
          <w:szCs w:val="22"/>
        </w:rPr>
        <w:t xml:space="preserve"> (the doctor hands you the portal as part of standard care) versus the opt-in pattern (download an app, remember to use it) that drives 80%+ attrition in competing tools. The clinical-integration substrate also gives Sous direct access to clinically-meaningful outcome data (A1C, weight, BP, lipids) that direct-to-consumer apps never see. Combined: lower acquisition cost, higher adherence, clinical-grade measurement, and a replication pathway across any occupational health or primary care network.</w:t>
      </w:r>
    </w:p>
    <w:p>
      <w:r>
        <w:br w:type="page"/>
      </w:r>
    </w:p>
    <w:p>
      <w:pPr>
        <w:pStyle w:val="Heading1"/>
        <w:spacing w:after="160" w:before="360"/>
      </w:pPr>
      <w:r>
        <w:rPr>
          <w:rFonts w:ascii="Arial" w:cs="Arial" w:eastAsia="Arial" w:hAnsi="Arial"/>
          <w:b/>
          <w:bCs/>
          <w:color w:val="1A5490"/>
          <w:sz w:val="32"/>
          <w:szCs w:val="32"/>
        </w:rPr>
        <w:t xml:space="preserve">5. Responsible AI &amp; Risk Statement</w:t>
      </w:r>
    </w:p>
    <w:p>
      <w:pPr>
        <w:pStyle w:val="ListParagraph"/>
        <w:numPr>
          <w:ilvl w:val="0"/>
          <w:numId w:val="2"/>
        </w:numPr>
        <w:spacing w:after="80" w:line="280"/>
      </w:pPr>
      <w:r>
        <w:rPr>
          <w:rFonts w:ascii="Arial" w:cs="Arial" w:eastAsia="Arial" w:hAnsi="Arial"/>
          <w:b/>
          <w:bCs/>
          <w:i w:val="false"/>
          <w:iCs w:val="false"/>
          <w:color w:val="1A1A1A"/>
          <w:sz w:val="22"/>
          <w:szCs w:val="22"/>
        </w:rPr>
        <w:t xml:space="preserve">Data privacy: </w:t>
      </w:r>
      <w:r>
        <w:rPr>
          <w:rFonts w:ascii="Arial" w:cs="Arial" w:eastAsia="Arial" w:hAnsi="Arial"/>
          <w:b w:val="false"/>
          <w:bCs w:val="false"/>
          <w:i w:val="false"/>
          <w:iCs w:val="false"/>
          <w:color w:val="1A1A1A"/>
          <w:sz w:val="22"/>
          <w:szCs w:val="22"/>
        </w:rPr>
        <w:t xml:space="preserve">All patient data de-identified at ingestion via Cloud Healthcare API + DLP scanning. No PHI leaves the Stanford clinical environment. Stanford IRB-approved protocol, renewal-eligible.</w:t>
      </w:r>
    </w:p>
    <w:p>
      <w:pPr>
        <w:pStyle w:val="ListParagraph"/>
        <w:numPr>
          <w:ilvl w:val="0"/>
          <w:numId w:val="2"/>
        </w:numPr>
        <w:spacing w:after="80" w:line="280"/>
      </w:pPr>
      <w:r>
        <w:rPr>
          <w:rFonts w:ascii="Arial" w:cs="Arial" w:eastAsia="Arial" w:hAnsi="Arial"/>
          <w:b/>
          <w:bCs/>
          <w:i w:val="false"/>
          <w:iCs w:val="false"/>
          <w:color w:val="1A1A1A"/>
          <w:sz w:val="22"/>
          <w:szCs w:val="22"/>
        </w:rPr>
        <w:t xml:space="preserve">Bias mitigation: </w:t>
      </w:r>
      <w:r>
        <w:rPr>
          <w:rFonts w:ascii="Arial" w:cs="Arial" w:eastAsia="Arial" w:hAnsi="Arial"/>
          <w:b w:val="false"/>
          <w:bCs w:val="false"/>
          <w:i w:val="false"/>
          <w:iCs w:val="false"/>
          <w:color w:val="1A1A1A"/>
          <w:sz w:val="22"/>
          <w:szCs w:val="22"/>
        </w:rPr>
        <w:t xml:space="preserve">Initial Indian + Filipino cuisine focus is intentional (populations most underserved by existing nutrition AI); Year 2 adds Chinese, Vietnamese, Japanese, Korean, and Latin American cohorts. Model reports confidence intervals and refuses recommendations outside training distribution.</w:t>
      </w:r>
    </w:p>
    <w:p>
      <w:pPr>
        <w:pStyle w:val="ListParagraph"/>
        <w:numPr>
          <w:ilvl w:val="0"/>
          <w:numId w:val="2"/>
        </w:numPr>
        <w:spacing w:after="80" w:line="280"/>
      </w:pPr>
      <w:r>
        <w:rPr>
          <w:rFonts w:ascii="Arial" w:cs="Arial" w:eastAsia="Arial" w:hAnsi="Arial"/>
          <w:b/>
          <w:bCs/>
          <w:i w:val="false"/>
          <w:iCs w:val="false"/>
          <w:color w:val="1A1A1A"/>
          <w:sz w:val="22"/>
          <w:szCs w:val="22"/>
        </w:rPr>
        <w:t xml:space="preserve">Clinical safety: </w:t>
      </w:r>
      <w:r>
        <w:rPr>
          <w:rFonts w:ascii="Arial" w:cs="Arial" w:eastAsia="Arial" w:hAnsi="Arial"/>
          <w:b w:val="false"/>
          <w:bCs w:val="false"/>
          <w:i w:val="false"/>
          <w:iCs w:val="false"/>
          <w:color w:val="1A1A1A"/>
          <w:sz w:val="22"/>
          <w:szCs w:val="22"/>
        </w:rPr>
        <w:t xml:space="preserve">Sous is positioned as a decision-support tool for clinicians and patients, not an autonomous prescriber. Every recommendation shows the underlying substitution rationale. Contraindication flags for drug-food interactions, renal dysfunction, and pregnancy.</w:t>
      </w:r>
    </w:p>
    <w:p>
      <w:pPr>
        <w:pStyle w:val="ListParagraph"/>
        <w:numPr>
          <w:ilvl w:val="0"/>
          <w:numId w:val="2"/>
        </w:numPr>
        <w:spacing w:after="80" w:line="280"/>
      </w:pPr>
      <w:r>
        <w:rPr>
          <w:rFonts w:ascii="Arial" w:cs="Arial" w:eastAsia="Arial" w:hAnsi="Arial"/>
          <w:b/>
          <w:bCs/>
          <w:i w:val="false"/>
          <w:iCs w:val="false"/>
          <w:color w:val="1A1A1A"/>
          <w:sz w:val="22"/>
          <w:szCs w:val="22"/>
        </w:rPr>
        <w:t xml:space="preserve">Open-science commitment: </w:t>
      </w:r>
      <w:r>
        <w:rPr>
          <w:rFonts w:ascii="Arial" w:cs="Arial" w:eastAsia="Arial" w:hAnsi="Arial"/>
          <w:b w:val="false"/>
          <w:bCs w:val="false"/>
          <w:i w:val="false"/>
          <w:iCs w:val="false"/>
          <w:color w:val="1A1A1A"/>
          <w:sz w:val="22"/>
          <w:szCs w:val="22"/>
        </w:rPr>
        <w:t xml:space="preserve">Dataset and models released within 3 months of paper acceptance. No patent filings that would restrict downstream use.</w:t>
      </w:r>
    </w:p>
    <w:p>
      <w:pPr>
        <w:pStyle w:val="Heading1"/>
        <w:spacing w:after="160" w:before="360"/>
      </w:pPr>
      <w:r>
        <w:rPr>
          <w:rFonts w:ascii="Arial" w:cs="Arial" w:eastAsia="Arial" w:hAnsi="Arial"/>
          <w:b/>
          <w:bCs/>
          <w:color w:val="1A5490"/>
          <w:sz w:val="32"/>
          <w:szCs w:val="32"/>
        </w:rPr>
        <w:t xml:space="preserve">6.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A5490" w:val="clear"/>
            <w:tcMar>
              <w:top w:type="dxa" w:w="100"/>
              <w:left w:type="dxa" w:w="140"/>
              <w:bottom w:type="dxa" w:w="100"/>
              <w:right w:type="dxa" w:w="140"/>
            </w:tcMar>
            <w:vAlign w:val="top"/>
          </w:tcPr>
          <w:p>
            <w:pPr>
              <w:spacing w:after="40" w:before="0" w:line="280"/>
              <w:jc w:val="left"/>
            </w:pPr>
            <w:r>
              <w:rPr>
                <w:rFonts w:ascii="Arial" w:cs="Arial" w:eastAsia="Arial" w:hAnsi="Arial"/>
                <w:b/>
                <w:bCs/>
                <w:i w:val="false"/>
                <w:iCs w:val="false"/>
                <w:color w:val="FFFFFF"/>
                <w:sz w:val="22"/>
                <w:szCs w:val="22"/>
              </w:rPr>
              <w:t xml:space="preserve">Name</w:t>
            </w:r>
          </w:p>
        </w:tc>
        <w:tc>
          <w:tcPr>
            <w:tcW w:type="dxa" w:w="6160"/>
            <w:tcBorders>
              <w:top w:val="single" w:color="BFBFBF" w:sz="4"/>
              <w:left w:val="single" w:color="BFBFBF" w:sz="4"/>
              <w:bottom w:val="single" w:color="BFBFBF" w:sz="4"/>
              <w:right w:val="single" w:color="BFBFBF" w:sz="4"/>
            </w:tcBorders>
            <w:shd w:fill="1A5490" w:val="clear"/>
            <w:tcMar>
              <w:top w:type="dxa" w:w="100"/>
              <w:left w:type="dxa" w:w="140"/>
              <w:bottom w:type="dxa" w:w="100"/>
              <w:right w:type="dxa" w:w="140"/>
            </w:tcMar>
            <w:vAlign w:val="top"/>
          </w:tcPr>
          <w:p>
            <w:pPr>
              <w:spacing w:after="40" w:before="0" w:line="280"/>
              <w:jc w:val="left"/>
            </w:pPr>
            <w:r>
              <w:rPr>
                <w:rFonts w:ascii="Arial" w:cs="Arial" w:eastAsia="Arial" w:hAnsi="Arial"/>
                <w:b/>
                <w:bCs/>
                <w:i w:val="false"/>
                <w:iCs w:val="false"/>
                <w:color w:val="FFFFFF"/>
                <w:sz w:val="22"/>
                <w:szCs w:val="22"/>
              </w:rPr>
              <w:t xml:space="preserve">Role</w:t>
            </w:r>
          </w:p>
        </w:tc>
      </w:tr>
      <w:tr>
        <w:tc>
          <w:tcPr>
            <w:tcW w:type="dxa" w:w="3200"/>
            <w:tcBorders>
              <w:top w:val="single" w:color="BFBFBF" w:sz="4"/>
              <w:left w:val="single" w:color="BFBFBF" w:sz="4"/>
              <w:bottom w:val="single" w:color="BFBFBF" w:sz="4"/>
              <w:right w:val="single" w:color="BFBFBF" w:sz="4"/>
            </w:tcBorders>
            <w:shd w:fill="F0F5F9" w:val="clear"/>
            <w:tcMar>
              <w:top w:type="dxa" w:w="100"/>
              <w:left w:type="dxa" w:w="140"/>
              <w:bottom w:type="dxa" w:w="100"/>
              <w:right w:type="dxa" w:w="140"/>
            </w:tcMar>
            <w:vAlign w:val="top"/>
          </w:tcPr>
          <w:p>
            <w:pPr>
              <w:spacing w:after="40" w:before="0" w:line="280"/>
              <w:jc w:val="left"/>
            </w:pPr>
            <w:r>
              <w:rPr>
                <w:rFonts w:ascii="Arial" w:cs="Arial" w:eastAsia="Arial" w:hAnsi="Arial"/>
                <w:b/>
                <w:bCs/>
                <w:i w:val="false"/>
                <w:iCs w:val="false"/>
                <w:color w:val="1A1A1A"/>
                <w:sz w:val="22"/>
                <w:szCs w:val="22"/>
              </w:rPr>
              <w:t xml:space="preserve">Stefan Thottunkal</w:t>
            </w:r>
          </w:p>
        </w:tc>
        <w:tc>
          <w:tcPr>
            <w:tcW w:type="dxa" w:w="6160"/>
            <w:tcBorders>
              <w:top w:val="single" w:color="BFBFBF" w:sz="4"/>
              <w:left w:val="single" w:color="BFBFBF" w:sz="4"/>
              <w:bottom w:val="single" w:color="BFBFBF" w:sz="4"/>
              <w:right w:val="single" w:color="BFBFBF" w:sz="4"/>
            </w:tcBorders>
            <w:shd w:fill="F0F5F9" w:val="clear"/>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Applicant; technical lead; Macquarie MD 2026; Stanford QUAD Fellow; PCORI-funded researcher</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before="0" w:line="280"/>
              <w:jc w:val="left"/>
            </w:pPr>
            <w:r>
              <w:rPr>
                <w:rFonts w:ascii="Arial" w:cs="Arial" w:eastAsia="Arial" w:hAnsi="Arial"/>
                <w:b/>
                <w:bCs/>
                <w:i w:val="false"/>
                <w:iCs w:val="false"/>
                <w:color w:val="1A1A1A"/>
                <w:sz w:val="22"/>
                <w:szCs w:val="22"/>
              </w:rPr>
              <w:t xml:space="preserve">Dr. Minal Moharir</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NOURISH Co-founder, Stanford Occupational Health clinician, Principal Investigator</w:t>
            </w:r>
          </w:p>
        </w:tc>
      </w:tr>
      <w:tr>
        <w:tc>
          <w:tcPr>
            <w:tcW w:type="dxa" w:w="3200"/>
            <w:tcBorders>
              <w:top w:val="single" w:color="BFBFBF" w:sz="4"/>
              <w:left w:val="single" w:color="BFBFBF" w:sz="4"/>
              <w:bottom w:val="single" w:color="BFBFBF" w:sz="4"/>
              <w:right w:val="single" w:color="BFBFBF" w:sz="4"/>
            </w:tcBorders>
            <w:shd w:fill="F0F5F9" w:val="clear"/>
            <w:tcMar>
              <w:top w:type="dxa" w:w="100"/>
              <w:left w:type="dxa" w:w="140"/>
              <w:bottom w:type="dxa" w:w="100"/>
              <w:right w:type="dxa" w:w="140"/>
            </w:tcMar>
            <w:vAlign w:val="top"/>
          </w:tcPr>
          <w:p>
            <w:pPr>
              <w:spacing w:after="40" w:before="0" w:line="280"/>
              <w:jc w:val="left"/>
            </w:pPr>
            <w:r>
              <w:rPr>
                <w:rFonts w:ascii="Arial" w:cs="Arial" w:eastAsia="Arial" w:hAnsi="Arial"/>
                <w:b/>
                <w:bCs/>
                <w:i w:val="false"/>
                <w:iCs w:val="false"/>
                <w:color w:val="1A1A1A"/>
                <w:sz w:val="22"/>
                <w:szCs w:val="22"/>
              </w:rPr>
              <w:t xml:space="preserve">Dr. Latha Palaniappan</w:t>
            </w:r>
          </w:p>
        </w:tc>
        <w:tc>
          <w:tcPr>
            <w:tcW w:type="dxa" w:w="6160"/>
            <w:tcBorders>
              <w:top w:val="single" w:color="BFBFBF" w:sz="4"/>
              <w:left w:val="single" w:color="BFBFBF" w:sz="4"/>
              <w:bottom w:val="single" w:color="BFBFBF" w:sz="4"/>
              <w:right w:val="single" w:color="BFBFBF" w:sz="4"/>
            </w:tcBorders>
            <w:shd w:fill="F0F5F9" w:val="clear"/>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NOURISH Co-founder, Stanford faculty (MD, MS), health equity expert</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before="0" w:line="280"/>
              <w:jc w:val="left"/>
            </w:pPr>
            <w:r>
              <w:rPr>
                <w:rFonts w:ascii="Arial" w:cs="Arial" w:eastAsia="Arial" w:hAnsi="Arial"/>
                <w:b/>
                <w:bCs/>
                <w:i w:val="false"/>
                <w:iCs w:val="false"/>
                <w:color w:val="1A1A1A"/>
                <w:sz w:val="22"/>
                <w:szCs w:val="22"/>
              </w:rPr>
              <w:t xml:space="preserve">Dr. Christopher Gardner</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Stanford Prevention Research Center, plant-based nutrition researcher, PLANT Study PI</w:t>
            </w:r>
          </w:p>
        </w:tc>
      </w:tr>
      <w:tr>
        <w:tc>
          <w:tcPr>
            <w:tcW w:type="dxa" w:w="3200"/>
            <w:tcBorders>
              <w:top w:val="single" w:color="BFBFBF" w:sz="4"/>
              <w:left w:val="single" w:color="BFBFBF" w:sz="4"/>
              <w:bottom w:val="single" w:color="BFBFBF" w:sz="4"/>
              <w:right w:val="single" w:color="BFBFBF" w:sz="4"/>
            </w:tcBorders>
            <w:shd w:fill="F0F5F9" w:val="clear"/>
            <w:tcMar>
              <w:top w:type="dxa" w:w="100"/>
              <w:left w:type="dxa" w:w="140"/>
              <w:bottom w:type="dxa" w:w="100"/>
              <w:right w:type="dxa" w:w="140"/>
            </w:tcMar>
            <w:vAlign w:val="top"/>
          </w:tcPr>
          <w:p>
            <w:pPr>
              <w:spacing w:after="40" w:before="0" w:line="280"/>
              <w:jc w:val="left"/>
            </w:pPr>
            <w:r>
              <w:rPr>
                <w:rFonts w:ascii="Arial" w:cs="Arial" w:eastAsia="Arial" w:hAnsi="Arial"/>
                <w:b/>
                <w:bCs/>
                <w:i w:val="false"/>
                <w:iCs w:val="false"/>
                <w:color w:val="1A1A1A"/>
                <w:sz w:val="22"/>
                <w:szCs w:val="22"/>
              </w:rPr>
              <w:t xml:space="preserve">Dr. Rich Wittman (MD, MPH)</w:t>
            </w:r>
          </w:p>
        </w:tc>
        <w:tc>
          <w:tcPr>
            <w:tcW w:type="dxa" w:w="6160"/>
            <w:tcBorders>
              <w:top w:val="single" w:color="BFBFBF" w:sz="4"/>
              <w:left w:val="single" w:color="BFBFBF" w:sz="4"/>
              <w:bottom w:val="single" w:color="BFBFBF" w:sz="4"/>
              <w:right w:val="single" w:color="BFBFBF" w:sz="4"/>
            </w:tcBorders>
            <w:shd w:fill="F0F5F9" w:val="clear"/>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Medical Director, Stanford + SLAC Occupational Health Centers</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before="0" w:line="280"/>
              <w:jc w:val="left"/>
            </w:pPr>
            <w:r>
              <w:rPr>
                <w:rFonts w:ascii="Arial" w:cs="Arial" w:eastAsia="Arial" w:hAnsi="Arial"/>
                <w:b/>
                <w:bCs/>
                <w:i w:val="false"/>
                <w:iCs w:val="false"/>
                <w:color w:val="1A1A1A"/>
                <w:sz w:val="22"/>
                <w:szCs w:val="22"/>
              </w:rPr>
              <w:t xml:space="preserve">Lily Phan / Shailaja Mathur / Dalia Perelman</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NOURISH Registered Dietitians</w:t>
            </w:r>
          </w:p>
        </w:tc>
      </w:tr>
      <w:tr>
        <w:tc>
          <w:tcPr>
            <w:tcW w:type="dxa" w:w="3200"/>
            <w:tcBorders>
              <w:top w:val="single" w:color="BFBFBF" w:sz="4"/>
              <w:left w:val="single" w:color="BFBFBF" w:sz="4"/>
              <w:bottom w:val="single" w:color="BFBFBF" w:sz="4"/>
              <w:right w:val="single" w:color="BFBFBF" w:sz="4"/>
            </w:tcBorders>
            <w:shd w:fill="F0F5F9" w:val="clear"/>
            <w:tcMar>
              <w:top w:type="dxa" w:w="100"/>
              <w:left w:type="dxa" w:w="140"/>
              <w:bottom w:type="dxa" w:w="100"/>
              <w:right w:type="dxa" w:w="140"/>
            </w:tcMar>
            <w:vAlign w:val="top"/>
          </w:tcPr>
          <w:p>
            <w:pPr>
              <w:spacing w:after="40" w:before="0" w:line="280"/>
              <w:jc w:val="left"/>
            </w:pPr>
            <w:r>
              <w:rPr>
                <w:rFonts w:ascii="Arial" w:cs="Arial" w:eastAsia="Arial" w:hAnsi="Arial"/>
                <w:b/>
                <w:bCs/>
                <w:i w:val="false"/>
                <w:iCs w:val="false"/>
                <w:color w:val="1A1A1A"/>
                <w:sz w:val="22"/>
                <w:szCs w:val="22"/>
              </w:rPr>
              <w:t xml:space="preserve">Dr. Ashwini Wagle</w:t>
            </w:r>
          </w:p>
        </w:tc>
        <w:tc>
          <w:tcPr>
            <w:tcW w:type="dxa" w:w="6160"/>
            <w:tcBorders>
              <w:top w:val="single" w:color="BFBFBF" w:sz="4"/>
              <w:left w:val="single" w:color="BFBFBF" w:sz="4"/>
              <w:bottom w:val="single" w:color="BFBFBF" w:sz="4"/>
              <w:right w:val="single" w:color="BFBFBF" w:sz="4"/>
            </w:tcBorders>
            <w:shd w:fill="F0F5F9" w:val="clear"/>
            <w:tcMar>
              <w:top w:type="dxa" w:w="100"/>
              <w:left w:type="dxa" w:w="140"/>
              <w:bottom w:type="dxa" w:w="100"/>
              <w:right w:type="dxa" w:w="140"/>
            </w:tcMar>
            <w:vAlign w:val="top"/>
          </w:tcPr>
          <w:p>
            <w:pPr>
              <w:spacing w:after="40" w:before="0" w:line="280"/>
              <w:jc w:val="left"/>
            </w:pPr>
            <w:r>
              <w:rPr>
                <w:rFonts w:ascii="Arial" w:cs="Arial" w:eastAsia="Arial" w:hAnsi="Arial"/>
                <w:b w:val="false"/>
                <w:bCs w:val="false"/>
                <w:i w:val="false"/>
                <w:iCs w:val="false"/>
                <w:color w:val="1A1A1A"/>
                <w:sz w:val="22"/>
                <w:szCs w:val="22"/>
              </w:rPr>
              <w:t xml:space="preserve">SJSU South Asian nutrition expert, external validator</w:t>
            </w:r>
          </w:p>
        </w:tc>
      </w:tr>
    </w:tbl>
    <w:p>
      <w:pPr>
        <w:pStyle w:val="Heading1"/>
        <w:spacing w:after="160" w:before="360"/>
      </w:pPr>
      <w:r>
        <w:rPr>
          <w:rFonts w:ascii="Arial" w:cs="Arial" w:eastAsia="Arial" w:hAnsi="Arial"/>
          <w:b/>
          <w:bCs/>
          <w:color w:val="1A5490"/>
          <w:sz w:val="32"/>
          <w:szCs w:val="32"/>
        </w:rPr>
        <w:t xml:space="preserve">7. References</w:t>
      </w:r>
    </w:p>
    <w:p>
      <w:pPr>
        <w:pStyle w:val="ListParagraph"/>
        <w:numPr>
          <w:ilvl w:val="0"/>
          <w:numId w:val="2"/>
        </w:numPr>
        <w:spacing w:after="80" w:line="280"/>
      </w:pPr>
      <w:r>
        <w:rPr>
          <w:rFonts w:ascii="Arial" w:cs="Arial" w:eastAsia="Arial" w:hAnsi="Arial"/>
          <w:sz w:val="22"/>
          <w:szCs w:val="22"/>
        </w:rPr>
        <w:t xml:space="preserve">NOURISH Genesis Document (canonical organizational record, Feb 2021 – May 2025)</w:t>
      </w:r>
    </w:p>
    <w:p>
      <w:pPr>
        <w:pStyle w:val="ListParagraph"/>
        <w:numPr>
          <w:ilvl w:val="0"/>
          <w:numId w:val="2"/>
        </w:numPr>
        <w:spacing w:after="80" w:line="280"/>
      </w:pPr>
      <w:r>
        <w:rPr>
          <w:rFonts w:ascii="Arial" w:cs="Arial" w:eastAsia="Arial" w:hAnsi="Arial"/>
          <w:sz w:val="22"/>
          <w:szCs w:val="22"/>
        </w:rPr>
        <w:t xml:space="preserve">FlavorDB2: Flavor Molecule Database — Garg et al., Nucleic Acids Research, 2022</w:t>
      </w:r>
    </w:p>
    <w:p>
      <w:pPr>
        <w:pStyle w:val="ListParagraph"/>
        <w:numPr>
          <w:ilvl w:val="0"/>
          <w:numId w:val="2"/>
        </w:numPr>
        <w:spacing w:after="80" w:line="280"/>
      </w:pPr>
      <w:r>
        <w:rPr>
          <w:rFonts w:ascii="Arial" w:cs="Arial" w:eastAsia="Arial" w:hAnsi="Arial"/>
          <w:sz w:val="22"/>
          <w:szCs w:val="22"/>
        </w:rPr>
        <w:t xml:space="preserve">ICMR-NIN Indian Food Composition Tables, 2017</w:t>
      </w:r>
    </w:p>
    <w:p>
      <w:pPr>
        <w:pStyle w:val="ListParagraph"/>
        <w:numPr>
          <w:ilvl w:val="0"/>
          <w:numId w:val="2"/>
        </w:numPr>
        <w:spacing w:after="80" w:line="280"/>
      </w:pPr>
      <w:r>
        <w:rPr>
          <w:rFonts w:ascii="Arial" w:cs="Arial" w:eastAsia="Arial" w:hAnsi="Arial"/>
          <w:sz w:val="22"/>
          <w:szCs w:val="22"/>
        </w:rPr>
        <w:t xml:space="preserve">DIETFITS Trial — Gardner et al., JAMA, 2018 (Stanford Prevention Research Center)</w:t>
      </w:r>
    </w:p>
    <w:p>
      <w:pPr>
        <w:pStyle w:val="ListParagraph"/>
        <w:numPr>
          <w:ilvl w:val="0"/>
          <w:numId w:val="2"/>
        </w:numPr>
        <w:spacing w:after="80" w:line="280"/>
      </w:pPr>
      <w:r>
        <w:rPr>
          <w:rFonts w:ascii="Arial" w:cs="Arial" w:eastAsia="Arial" w:hAnsi="Arial"/>
          <w:sz w:val="22"/>
          <w:szCs w:val="22"/>
        </w:rPr>
        <w:t xml:space="preserve">Virta Health Type 2 Diabetes Outcomes — Hallberg et al., Diabetes Therapy, 2018 (comparator)</w:t>
      </w:r>
    </w:p>
    <w:p>
      <w:pPr>
        <w:pStyle w:val="ListParagraph"/>
        <w:numPr>
          <w:ilvl w:val="0"/>
          <w:numId w:val="2"/>
        </w:numPr>
        <w:spacing w:after="80" w:line="280"/>
      </w:pPr>
      <w:r>
        <w:rPr>
          <w:rFonts w:ascii="Arial" w:cs="Arial" w:eastAsia="Arial" w:hAnsi="Arial"/>
          <w:sz w:val="22"/>
          <w:szCs w:val="22"/>
        </w:rPr>
        <w:t xml:space="preserve">Twin Health Whole Body Digital Twin — Shamanna et al., 2021+ (comparator)</w:t>
      </w:r>
    </w:p>
    <w:p>
      <w:pPr>
        <w:pStyle w:val="ListParagraph"/>
        <w:numPr>
          <w:ilvl w:val="0"/>
          <w:numId w:val="2"/>
        </w:numPr>
        <w:spacing w:after="80" w:line="280"/>
      </w:pPr>
      <w:r>
        <w:rPr>
          <w:rFonts w:ascii="Arial" w:cs="Arial" w:eastAsia="Arial" w:hAnsi="Arial"/>
          <w:sz w:val="22"/>
          <w:szCs w:val="22"/>
        </w:rPr>
        <w:t xml:space="preserve">Topological Data Analysis in Biomedical Applications — Nicolau, Carlsson, 2011+</w:t>
      </w:r>
    </w:p>
    <w:p>
      <w:pPr>
        <w:pStyle w:val="ListParagraph"/>
        <w:numPr>
          <w:ilvl w:val="0"/>
          <w:numId w:val="2"/>
        </w:numPr>
        <w:spacing w:after="80" w:line="280"/>
      </w:pPr>
      <w:r>
        <w:rPr>
          <w:rFonts w:ascii="Arial" w:cs="Arial" w:eastAsia="Arial" w:hAnsi="Arial"/>
          <w:sz w:val="22"/>
          <w:szCs w:val="22"/>
        </w:rPr>
        <w:t xml:space="preserve">Google.org Responsible AI Principles — https://ai.google/responsibility/principles/</w:t>
      </w:r>
    </w:p>
    <w:p>
      <w:pPr>
        <w:spacing w:after="120" w:before="0" w:line="280"/>
        <w:jc w:val="left"/>
      </w:pPr>
      <w:r>
        <w:rPr>
          <w:rFonts w:ascii="Arial" w:cs="Arial" w:eastAsia="Arial" w:hAnsi="Arial"/>
          <w:b w:val="false"/>
          <w:bCs w:val="false"/>
          <w:i w:val="false"/>
          <w:iCs w:val="false"/>
          <w:color w:val="1A1A1A"/>
          <w:sz w:val="22"/>
          <w:szCs w:val="22"/>
        </w:rPr>
        <w:t xml:space="preserve"> </w:t>
      </w:r>
    </w:p>
    <w:p>
      <w:pPr>
        <w:spacing w:after="120" w:before="0" w:line="280"/>
        <w:jc w:val="center"/>
      </w:pPr>
      <w:r>
        <w:rPr>
          <w:rFonts w:ascii="Arial" w:cs="Arial" w:eastAsia="Arial" w:hAnsi="Arial"/>
          <w:b w:val="false"/>
          <w:bCs w:val="false"/>
          <w:i/>
          <w:iCs/>
          <w:color w:val="555555"/>
          <w:sz w:val="22"/>
          <w:szCs w:val="22"/>
        </w:rPr>
        <w:t xml:space="preserve">Draft prepared 2026-04-13 by Sous + NOURISH team. Ready for final review, PI signature, and submission by 2026-04-17.</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Stefan Thottunkal · NOURISH · Stanford · </w:t>
    </w: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55555"/>
        <w:sz w:val="18"/>
        <w:szCs w:val="18"/>
      </w:rPr>
      <w:t xml:space="preserve">Sous — Google.org AI for Science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549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1A1A"/>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Sous — Google.org AI for Science 2026 Application</dc:title>
  <dc:creator>Stefan Thottunkal (NOURISH / Stanford)</dc:creator>
  <dc:description>Grant application for Google.org Impact Challenge: AI for Science 2026</dc:description>
  <cp:lastModifiedBy>Un-named</cp:lastModifiedBy>
  <cp:revision>1</cp:revision>
  <dcterms:created xsi:type="dcterms:W3CDTF">2026-04-14T05:20:04.231Z</dcterms:created>
  <dcterms:modified xsi:type="dcterms:W3CDTF">2026-04-14T05:20:04.231Z</dcterms:modified>
</cp:coreProperties>
</file>

<file path=docProps/custom.xml><?xml version="1.0" encoding="utf-8"?>
<Properties xmlns="http://schemas.openxmlformats.org/officeDocument/2006/custom-properties" xmlns:vt="http://schemas.openxmlformats.org/officeDocument/2006/docPropsVTypes"/>
</file>