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CareYield — continuity yield for general practice</w:t>
      </w:r>
    </w:p>
    <w:p>
      <w:r>
        <w:t xml:space="preserve">CareYield fills unused appointment capacity by inviting established patients back to their usual GP, and proves how many of those visits are genuinely additional.</w:t>
      </w:r>
    </w:p>
    <w:p>
      <w:pPr>
        <w:pStyle w:val="Heading2"/>
      </w:pPr>
      <w:r>
        <w:t xml:space="preserve">What it does</w:t>
      </w:r>
    </w:p>
    <w:p>
      <w:r>
        <w:t xml:space="preserve">Within the eligibility rules a practice sets, CareYield identifies established patients who may value a return visit, sends an availability-only message, and books them into a real open slot with their usual GP. When a session fills, the remaining offers close.</w:t>
      </w:r>
    </w:p>
    <w:p>
      <w:pPr>
        <w:pStyle w:val="Heading2"/>
      </w:pPr>
      <w:r>
        <w:t xml:space="preserve">How impact is measured</w:t>
      </w:r>
    </w:p>
    <w:p>
      <w:r>
        <w:t xml:space="preserve">A share of each practice's patients is held back at random and never messaged. The difference between the two groups is what CareYield added. We report that figure and never the raw count of bookings we touched.</w:t>
      </w:r>
    </w:p>
    <w:p>
      <w:pPr>
        <w:pStyle w:val="Heading2"/>
      </w:pPr>
      <w:r>
        <w:t xml:space="preserve">What a 10-GP practice can expect</w:t>
      </w:r>
    </w:p>
    <w:p>
      <w:r>
        <w:t xml:space="preserve">On the modelling assumptions stated below: 711 incremental attended appointments a year, and $45,029 net annual benefit after the subscription — a 4.8× return. A pilot replaces these with measured figures.</w:t>
      </w:r>
    </w:p>
    <w:p>
      <w:pPr>
        <w:pStyle w:val="Heading2"/>
      </w:pPr>
      <w:r>
        <w:t xml:space="preserve">Assumptions</w:t>
      </w:r>
    </w:p>
    <w:p>
      <w:r>
        <w:t xml:space="preserve">8% of capacity unfilled; 60% of generated visits genuinely incremental; billing per visit set by the practice, against a standard Level B rebate of $43.90.</w:t>
      </w:r>
    </w:p>
    <w:p>
      <w:pPr>
        <w:pStyle w:val="Heading2"/>
      </w:pPr>
      <w:r>
        <w:t xml:space="preserve">Compliance</w:t>
      </w:r>
    </w:p>
    <w:p>
      <w:r>
        <w:t xml:space="preserve">Availability-only messaging with a compliance check on every template, permanent one-tap opt-out, per-practice pause, a full audit log, and practice-level data isolation.</w:t>
      </w:r>
    </w:p>
    <w:p>
      <w:r>
        <w:rPr>
          <w:i/>
          <w:iCs/>
        </w:rPr>
        <w:t xml:space="preserve">Business-to-business service for accredited general practices. Not patient medical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CareYield — continuity yield for general practice</dc:title>
  <dc:creator>CareYield</dc:creator>
  <cp:lastModifiedBy>Un-named</cp:lastModifiedBy>
  <cp:revision>1</cp:revision>
  <dcterms:created xsi:type="dcterms:W3CDTF">2026-08-10T06:47:54.805Z</dcterms:created>
  <dcterms:modified xsi:type="dcterms:W3CDTF">2026-08-10T06:47:54.805Z</dcterms:modified>
</cp:coreProperties>
</file>

<file path=docProps/custom.xml><?xml version="1.0" encoding="utf-8"?>
<Properties xmlns="http://schemas.openxmlformats.org/officeDocument/2006/custom-properties" xmlns:vt="http://schemas.openxmlformats.org/officeDocument/2006/docPropsVTypes"/>
</file>