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Técnica y Económica - Entrega 4</w:t>
      </w:r>
    </w:p>
    <w:p>
      <w:r>
        <w:t>HandCodeStudio</w:t>
        <w:br/>
        <w:t>Contacto: Stefan Miranda</w:t>
      </w:r>
    </w:p>
    <w:p>
      <w:pPr>
        <w:pStyle w:val="Heading1"/>
      </w:pPr>
      <w:r>
        <w:t>Milestone 3 - Objetivos</w:t>
      </w:r>
    </w:p>
    <w:p>
      <w:r>
        <w:t>Transformar la solución en una plataforma integral de operación.</w:t>
      </w:r>
    </w:p>
    <w:p>
      <w:pPr>
        <w:pStyle w:val="Heading1"/>
      </w:pPr>
      <w:r>
        <w:t>Agenda</w:t>
      </w:r>
    </w:p>
    <w:p>
      <w:pPr>
        <w:pStyle w:val="ListBullet"/>
      </w:pPr>
      <w:r>
        <w:t>Google Calendar.</w:t>
      </w:r>
    </w:p>
    <w:p>
      <w:pPr>
        <w:pStyle w:val="ListBullet"/>
      </w:pPr>
      <w:r>
        <w:t>Asignación de técnicos.</w:t>
      </w:r>
    </w:p>
    <w:p>
      <w:pPr>
        <w:pStyle w:val="ListBullet"/>
      </w:pPr>
      <w:r>
        <w:t>Recordatorios automáticos.</w:t>
      </w:r>
    </w:p>
    <w:p>
      <w:pPr>
        <w:pStyle w:val="Heading1"/>
      </w:pPr>
      <w:r>
        <w:t>CRM</w:t>
      </w:r>
    </w:p>
    <w:p>
      <w:pPr>
        <w:pStyle w:val="ListBullet"/>
      </w:pPr>
      <w:r>
        <w:t>Ficha del cliente.</w:t>
      </w:r>
    </w:p>
    <w:p>
      <w:pPr>
        <w:pStyle w:val="ListBullet"/>
      </w:pPr>
      <w:r>
        <w:t>Historial.</w:t>
      </w:r>
    </w:p>
    <w:p>
      <w:pPr>
        <w:pStyle w:val="ListBullet"/>
      </w:pPr>
      <w:r>
        <w:t>Equipos.</w:t>
      </w:r>
    </w:p>
    <w:p>
      <w:pPr>
        <w:pStyle w:val="ListBullet"/>
      </w:pPr>
      <w:r>
        <w:t>Garantías.</w:t>
      </w:r>
    </w:p>
    <w:p>
      <w:pPr>
        <w:pStyle w:val="ListBullet"/>
      </w:pPr>
      <w:r>
        <w:t>Seguimiento.</w:t>
      </w:r>
    </w:p>
    <w:p>
      <w:pPr>
        <w:pStyle w:val="Heading1"/>
      </w:pPr>
      <w:r>
        <w:t>Pagos</w:t>
      </w:r>
    </w:p>
    <w:p>
      <w:pPr>
        <w:pStyle w:val="ListBullet"/>
      </w:pPr>
      <w:r>
        <w:t>Registro de pagos.</w:t>
      </w:r>
    </w:p>
    <w:p>
      <w:pPr>
        <w:pStyle w:val="ListBullet"/>
      </w:pPr>
      <w:r>
        <w:t>Estados.</w:t>
      </w:r>
    </w:p>
    <w:p>
      <w:pPr>
        <w:pStyle w:val="ListBullet"/>
      </w:pPr>
      <w:r>
        <w:t>Comprobantes.</w:t>
      </w:r>
    </w:p>
    <w:p>
      <w:pPr>
        <w:pStyle w:val="Heading1"/>
      </w:pPr>
      <w:r>
        <w:t>Automatizaciones</w:t>
      </w:r>
    </w:p>
    <w:p>
      <w:pPr>
        <w:pStyle w:val="ListBullet"/>
      </w:pPr>
      <w:r>
        <w:t>Recordatorios.</w:t>
      </w:r>
    </w:p>
    <w:p>
      <w:pPr>
        <w:pStyle w:val="ListBullet"/>
      </w:pPr>
      <w:r>
        <w:t>Postventa.</w:t>
      </w:r>
    </w:p>
    <w:p>
      <w:pPr>
        <w:pStyle w:val="ListBullet"/>
      </w:pPr>
      <w:r>
        <w:t>Encuestas.</w:t>
      </w:r>
    </w:p>
    <w:p>
      <w:pPr>
        <w:pStyle w:val="ListBullet"/>
      </w:pPr>
      <w:r>
        <w:t>Alertas internas.</w:t>
      </w:r>
    </w:p>
    <w:p>
      <w:pPr>
        <w:pStyle w:val="Heading1"/>
      </w:pPr>
      <w:r>
        <w:t>Reportes</w:t>
      </w:r>
    </w:p>
    <w:p>
      <w:pPr>
        <w:pStyle w:val="ListBullet"/>
      </w:pPr>
      <w:r>
        <w:t>Indicadores.</w:t>
      </w:r>
    </w:p>
    <w:p>
      <w:pPr>
        <w:pStyle w:val="ListBullet"/>
      </w:pPr>
      <w:r>
        <w:t>Servicios.</w:t>
      </w:r>
    </w:p>
    <w:p>
      <w:pPr>
        <w:pStyle w:val="ListBullet"/>
      </w:pPr>
      <w:r>
        <w:t>Clientes.</w:t>
      </w:r>
    </w:p>
    <w:p>
      <w:pPr>
        <w:pStyle w:val="ListBullet"/>
      </w:pPr>
      <w:r>
        <w:t>Conversaciones.</w:t>
      </w:r>
    </w:p>
    <w:p>
      <w:pPr>
        <w:pStyle w:val="ListBullet"/>
      </w:pPr>
      <w:r>
        <w:t>Rendimiento.</w:t>
      </w:r>
    </w:p>
    <w:p>
      <w:pPr>
        <w:pStyle w:val="Heading1"/>
      </w:pPr>
      <w:r>
        <w:t>Infraestructura</w:t>
      </w:r>
    </w:p>
    <w:p>
      <w:pPr>
        <w:pStyle w:val="ListBullet"/>
      </w:pPr>
      <w:r>
        <w:t>Docker.</w:t>
      </w:r>
    </w:p>
    <w:p>
      <w:pPr>
        <w:pStyle w:val="ListBullet"/>
      </w:pPr>
      <w:r>
        <w:t>PostgreSQL.</w:t>
      </w:r>
    </w:p>
    <w:p>
      <w:pPr>
        <w:pStyle w:val="ListBullet"/>
      </w:pPr>
      <w:r>
        <w:t>Backups.</w:t>
      </w:r>
    </w:p>
    <w:p>
      <w:pPr>
        <w:pStyle w:val="ListBullet"/>
      </w:pPr>
      <w:r>
        <w:t>Monitoreo.</w:t>
      </w:r>
    </w:p>
    <w:p>
      <w:pPr>
        <w:pStyle w:val="ListBullet"/>
      </w:pPr>
      <w:r>
        <w:t>Logs.</w:t>
      </w:r>
    </w:p>
    <w:p>
      <w:pPr>
        <w:pStyle w:val="Heading1"/>
      </w:pPr>
      <w:r>
        <w:t>Soporte y Garantías</w:t>
      </w:r>
    </w:p>
    <w:p>
      <w:r>
        <w:t>Garantía inicial, soporte evolutivo opcional, documentación técnica.</w:t>
      </w:r>
    </w:p>
    <w:p>
      <w:pPr>
        <w:pStyle w:val="Heading1"/>
      </w:pPr>
      <w:r>
        <w:t>Seguridad</w:t>
      </w:r>
    </w:p>
    <w:p>
      <w:pPr>
        <w:pStyle w:val="ListBullet"/>
      </w:pPr>
      <w:r>
        <w:t>HTTPS.</w:t>
      </w:r>
    </w:p>
    <w:p>
      <w:pPr>
        <w:pStyle w:val="ListBullet"/>
      </w:pPr>
      <w:r>
        <w:t>Roles.</w:t>
      </w:r>
    </w:p>
    <w:p>
      <w:pPr>
        <w:pStyle w:val="ListBullet"/>
      </w:pPr>
      <w:r>
        <w:t>Auditoría.</w:t>
      </w:r>
    </w:p>
    <w:p>
      <w:pPr>
        <w:pStyle w:val="ListBullet"/>
      </w:pPr>
      <w:r>
        <w:t>Respaldo.</w:t>
      </w:r>
    </w:p>
    <w:p>
      <w:pPr>
        <w:pStyle w:val="ListBullet"/>
      </w:pPr>
      <w:r>
        <w:t>Propiedad de datos.</w:t>
      </w:r>
    </w:p>
    <w:p>
      <w:pPr>
        <w:pStyle w:val="Heading1"/>
      </w:pPr>
      <w:r>
        <w:t>Roadmap y Próximos Pasos</w:t>
      </w:r>
    </w:p>
    <w:p>
      <w:r>
        <w:t>Implementación progresiva de M1→M2→M3, cierre con matriz de trazabilidad y resumen económico en la versión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