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 xml:space="preserve">If the value of the source symbol is zero, we create a target symbol with jump set as its </w:t>
      </w:r>
      <w:proofErr w:type="gramStart"/>
      <w:r>
        <w:rPr>
          <w:highlight w:val="white"/>
        </w:rPr>
        <w:t>false-set</w:t>
      </w:r>
      <w:proofErr w:type="gramEnd"/>
      <w:r>
        <w:rPr>
          <w:highlight w:val="white"/>
        </w:rPr>
        <w:t xml:space="preserve">. If it not zero, we create the target symbol with the jump set as its </w:t>
      </w:r>
      <w:proofErr w:type="gramStart"/>
      <w:r>
        <w:rPr>
          <w:highlight w:val="white"/>
        </w:rPr>
        <w:t>true-set</w:t>
      </w:r>
      <w:proofErr w:type="gramEnd"/>
      <w:r>
        <w:rPr>
          <w:highlight w:val="white"/>
        </w:rPr>
        <w: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symbol.IsExternOrStatic</w:t>
      </w:r>
      <w:proofErr w:type="spellEnd"/>
      <w:proofErr w:type="gram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w:t>
      </w:r>
      <w:proofErr w:type="gramStart"/>
      <w:r>
        <w:t>address</w:t>
      </w:r>
      <w:proofErr w:type="gramEnd"/>
      <w:r>
        <w:t xml:space="preserve">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083F9D15" w14:textId="1FD72574" w:rsidR="00C64D50" w:rsidRDefault="00C64D50" w:rsidP="00C64D50">
      <w:r>
        <w:t xml:space="preserve">If the variable type is a pointer to a (signed or unsigned) character and the </w:t>
      </w:r>
      <w:proofErr w:type="spellStart"/>
      <w:r>
        <w:t>initializator</w:t>
      </w:r>
      <w:proofErr w:type="spellEnd"/>
      <w:r>
        <w:t xml:space="preserve"> is a string, the address is stored in the access map and a zero address is stored in the block, it will later be properly looked up  and set by the linker.</w:t>
      </w:r>
    </w:p>
    <w:p w14:paraId="1BC4A783" w14:textId="625B144B" w:rsidR="00CD06C3" w:rsidRDefault="00CD06C3" w:rsidP="00C64D50"/>
    <w:sectPr w:rsidR="00CD0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830DD"/>
    <w:rsid w:val="001B4FC7"/>
    <w:rsid w:val="001C0F59"/>
    <w:rsid w:val="001D16E9"/>
    <w:rsid w:val="00214124"/>
    <w:rsid w:val="0026384A"/>
    <w:rsid w:val="00281598"/>
    <w:rsid w:val="00305BD8"/>
    <w:rsid w:val="003143C7"/>
    <w:rsid w:val="0034237B"/>
    <w:rsid w:val="00423FEC"/>
    <w:rsid w:val="00444A3C"/>
    <w:rsid w:val="00461FDD"/>
    <w:rsid w:val="00473024"/>
    <w:rsid w:val="00474BAA"/>
    <w:rsid w:val="00483735"/>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53845"/>
    <w:rsid w:val="00B60010"/>
    <w:rsid w:val="00BC592B"/>
    <w:rsid w:val="00BD0183"/>
    <w:rsid w:val="00BF4C82"/>
    <w:rsid w:val="00C261E7"/>
    <w:rsid w:val="00C3228F"/>
    <w:rsid w:val="00C64D50"/>
    <w:rsid w:val="00C879A8"/>
    <w:rsid w:val="00CD06C3"/>
    <w:rsid w:val="00CE5A5A"/>
    <w:rsid w:val="00D22437"/>
    <w:rsid w:val="00D22F43"/>
    <w:rsid w:val="00D249F4"/>
    <w:rsid w:val="00D574A7"/>
    <w:rsid w:val="00DB0FCC"/>
    <w:rsid w:val="00DB3E5B"/>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4951</TotalTime>
  <Pages>30</Pages>
  <Words>11500</Words>
  <Characters>60950</Characters>
  <Application>Microsoft Office Word</Application>
  <DocSecurity>0</DocSecurity>
  <Lines>507</Lines>
  <Paragraphs>144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73</cp:revision>
  <dcterms:created xsi:type="dcterms:W3CDTF">2020-12-06T18:43:00Z</dcterms:created>
  <dcterms:modified xsi:type="dcterms:W3CDTF">2021-02-15T14:41:00Z</dcterms:modified>
</cp:coreProperties>
</file>