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5D497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5D497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5D497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5D497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5D497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5D497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5D497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5D497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5D497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5D497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5D497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5D497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5D497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5D497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5D497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5D497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5D497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5D497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5D497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5D497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5D497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5D497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5D497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5D497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5D497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530"/>
            <w:gridCol w:w="586"/>
            <w:gridCol w:w="2530"/>
            <w:gridCol w:w="587"/>
            <w:gridCol w:w="2530"/>
            <w:gridCol w:w="587"/>
            <w:gridCol w:w="253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2A54B1AF"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56C89C8"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E0F5F" w:rsidRDefault="007E0F5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E0F5F" w:rsidRDefault="007E0F5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E0F5F" w:rsidRDefault="007E0F5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E0F5F" w:rsidRDefault="007E0F5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E0F5F" w:rsidRDefault="007E0F5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E0F5F" w:rsidRDefault="007E0F5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E0F5F" w:rsidRDefault="007E0F5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E0F5F" w:rsidRDefault="007E0F5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E0F5F" w:rsidRDefault="007E0F5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E0F5F" w:rsidRDefault="007E0F5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E0F5F" w:rsidRDefault="007E0F5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E0F5F" w:rsidRDefault="007E0F5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E0F5F" w:rsidRDefault="007E0F5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E0F5F" w:rsidRDefault="007E0F5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5D497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D497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D497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D497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D497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D497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D497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D497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D497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D497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D497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D497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D497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D497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D497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D497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D497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D497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D497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D497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D497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D497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D497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D497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lastRenderedPageBreak/>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lastRenderedPageBreak/>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lastRenderedPageBreak/>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lastRenderedPageBreak/>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lastRenderedPageBreak/>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lastRenderedPageBreak/>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lastRenderedPageBreak/>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lastRenderedPageBreak/>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lastRenderedPageBreak/>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lastRenderedPageBreak/>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lastRenderedPageBreak/>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lastRenderedPageBreak/>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lastRenderedPageBreak/>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lastRenderedPageBreak/>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lastRenderedPageBreak/>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lastRenderedPageBreak/>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lastRenderedPageBreak/>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lastRenderedPageBreak/>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lastRenderedPageBreak/>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lastRenderedPageBreak/>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lastRenderedPageBreak/>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lastRenderedPageBreak/>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lastRenderedPageBreak/>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lastRenderedPageBreak/>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lastRenderedPageBreak/>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lastRenderedPageBreak/>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lastRenderedPageBreak/>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lastRenderedPageBreak/>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lastRenderedPageBreak/>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lastRenderedPageBreak/>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lastRenderedPageBreak/>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lastRenderedPageBreak/>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lastRenderedPageBreak/>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lastRenderedPageBreak/>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lastRenderedPageBreak/>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lastRenderedPageBreak/>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lastRenderedPageBreak/>
        <w:t>Conditional Programming</w:t>
      </w:r>
      <w:bookmarkEnd w:id="620"/>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lastRenderedPageBreak/>
        <w:t>Macro Expansion</w:t>
      </w:r>
      <w:bookmarkEnd w:id="62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2"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E0F5F" w:rsidRDefault="007E0F5F" w:rsidP="006C7309">
      <w:pPr>
        <w:spacing w:line="240" w:lineRule="auto"/>
      </w:pPr>
      <w:r>
        <w:separator/>
      </w:r>
    </w:p>
  </w:endnote>
  <w:endnote w:type="continuationSeparator" w:id="0">
    <w:p w14:paraId="0DD18C9D" w14:textId="77777777" w:rsidR="007E0F5F" w:rsidRDefault="007E0F5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E0F5F" w:rsidRDefault="007E0F5F" w:rsidP="006C7309">
      <w:pPr>
        <w:spacing w:line="240" w:lineRule="auto"/>
      </w:pPr>
      <w:r>
        <w:separator/>
      </w:r>
    </w:p>
  </w:footnote>
  <w:footnote w:type="continuationSeparator" w:id="0">
    <w:p w14:paraId="0BA3DA21" w14:textId="77777777" w:rsidR="007E0F5F" w:rsidRDefault="007E0F5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E92"/>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40D"/>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433</Pages>
  <Words>140758</Words>
  <Characters>746018</Characters>
  <Application>Microsoft Office Word</Application>
  <DocSecurity>0</DocSecurity>
  <Lines>6216</Lines>
  <Paragraphs>1770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61</cp:revision>
  <cp:lastPrinted>2017-05-07T13:41:00Z</cp:lastPrinted>
  <dcterms:created xsi:type="dcterms:W3CDTF">2020-12-30T14:19:00Z</dcterms:created>
  <dcterms:modified xsi:type="dcterms:W3CDTF">2020-12-30T20:34:00Z</dcterms:modified>
</cp:coreProperties>
</file>