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160"/>
        <w:jc w:val="center"/>
      </w:pPr>
      <w:r>
        <w:rPr>
          <w:rFonts w:ascii="Liberation Sans" w:hAnsi="Liberation Sans"/>
          <w:b/>
          <w:color w:val="132238"/>
          <w:sz w:val="68"/>
        </w:rPr>
        <w:t>KINETEXA</w:t>
      </w:r>
    </w:p>
    <w:p>
      <w:pPr>
        <w:spacing w:after="80"/>
        <w:jc w:val="center"/>
      </w:pPr>
      <w:r>
        <w:rPr>
          <w:rFonts w:ascii="Liberation Sans" w:hAnsi="Liberation Sans"/>
          <w:b/>
          <w:color w:val="0F766E"/>
          <w:sz w:val="42"/>
        </w:rPr>
        <w:t>Product Definition &amp; Strategy Brief</w:t>
      </w:r>
    </w:p>
    <w:p>
      <w:pPr>
        <w:spacing w:after="400"/>
        <w:jc w:val="center"/>
      </w:pPr>
      <w:r>
        <w:rPr>
          <w:rFonts w:ascii="Liberation Sans" w:hAnsi="Liberation Sans"/>
          <w:color w:val="596579"/>
          <w:sz w:val="22"/>
        </w:rPr>
        <w:t>The alignment document before the Product Requirements Document</w:t>
      </w:r>
    </w:p>
    <w:tbl>
      <w:tblPr>
        <w:tblW w:type="auto" w:w="0"/>
        <w:jc w:val="center"/>
        <w:tblLayout w:type="autofit"/>
        <w:tblLook w:firstColumn="1" w:firstRow="1" w:lastColumn="0" w:lastRow="0" w:noHBand="0" w:noVBand="1" w:val="04A0"/>
      </w:tblPr>
      <w:tblGrid>
        <w:gridCol w:w="9994"/>
      </w:tblGrid>
      <w:tr>
        <w:tc>
          <w:tcPr>
            <w:tcW w:type="dxa" w:w="9994"/>
            <w:shd w:fill="EEF4FF"/>
            <w:tcMar>
              <w:top w:w="120" w:type="dxa"/>
              <w:start w:w="150" w:type="dxa"/>
              <w:bottom w:w="120" w:type="dxa"/>
              <w:end w:w="150" w:type="dxa"/>
            </w:tcMar>
            <w:tcBorders>
              <w:top w:val="nil"/>
              <w:left w:val="single" w:sz="20" w:color="2563EB"/>
              <w:bottom w:val="nil"/>
              <w:right w:val="nil"/>
            </w:tcBorders>
          </w:tcPr>
          <w:p>
            <w:pPr>
              <w:spacing w:before="0" w:after="60" w:line="252" w:lineRule="auto"/>
            </w:pPr>
            <w:r>
              <w:rPr>
                <w:rFonts w:ascii="Liberation Sans" w:hAnsi="Liberation Sans"/>
                <w:b/>
                <w:color w:val="2563EB"/>
                <w:sz w:val="20"/>
              </w:rPr>
              <w:t>WORKING PRODUCT THESIS</w:t>
            </w:r>
          </w:p>
          <w:p>
            <w:pPr>
              <w:spacing w:before="0" w:after="0" w:line="259" w:lineRule="auto"/>
            </w:pPr>
            <w:r>
              <w:rPr>
                <w:rFonts w:ascii="Liberation Sans" w:hAnsi="Liberation Sans"/>
                <w:color w:val="132238"/>
                <w:sz w:val="20"/>
              </w:rPr>
              <w:t>Kinetexa is an open-source, privacy-first, AI-native fitness intelligence platform that gives athletes ownership of their data, continuously synchronizes multiple fitness providers, combines training science with geospatial intelligence, explains every metric, and lets users explore, query, visualize, share and act on their fitness data without vendor lock-in.</w:t>
            </w:r>
          </w:p>
        </w:tc>
      </w:tr>
    </w:tbl>
    <w:p>
      <w:pPr>
        <w:spacing w:after="20"/>
      </w:pPr>
    </w:p>
    <w:p>
      <w:pPr>
        <w:spacing w:before="440"/>
        <w:jc w:val="center"/>
      </w:pPr>
      <w:r>
        <w:rPr>
          <w:rFonts w:ascii="Liberation Sans" w:hAnsi="Liberation Sans"/>
          <w:b/>
          <w:color w:val="596579"/>
          <w:sz w:val="16"/>
        </w:rPr>
        <w:t>STATUS</w:t>
      </w:r>
    </w:p>
    <w:p>
      <w:pPr>
        <w:jc w:val="center"/>
      </w:pPr>
      <w:r>
        <w:rPr>
          <w:rFonts w:ascii="Liberation Sans" w:hAnsi="Liberation Sans"/>
          <w:b/>
          <w:color w:val="166534"/>
          <w:sz w:val="24"/>
        </w:rPr>
        <w:t>STRATEGIC DIRECTION ALIGNED</w:t>
      </w:r>
    </w:p>
    <w:p>
      <w:pPr>
        <w:spacing w:before="240"/>
        <w:jc w:val="center"/>
      </w:pPr>
      <w:r>
        <w:rPr>
          <w:rFonts w:ascii="Liberation Sans" w:hAnsi="Liberation Sans"/>
          <w:color w:val="596579"/>
          <w:sz w:val="17"/>
        </w:rPr>
        <w:t>Working name: Kinetexa  •  Hosted-first  •  Open Solo edition  •  PRD follows this document</w:t>
      </w:r>
    </w:p>
    <w:p>
      <w:pPr>
        <w:keepNext/>
        <w:pageBreakBefore/>
        <w:spacing w:before="200" w:after="100" w:line="240" w:lineRule="auto"/>
        <w:pBdr>
          <w:bottom w:val="single" w:sz="14" w:space="3" w:color="0F766E"/>
        </w:pBdr>
      </w:pPr>
      <w:r>
        <w:rPr>
          <w:rFonts w:ascii="Liberation Sans" w:hAnsi="Liberation Sans"/>
          <w:b/>
          <w:color w:val="132238"/>
          <w:sz w:val="38"/>
        </w:rPr>
        <w:t>1. Executive alignment</w:t>
      </w:r>
    </w:p>
    <w:p>
      <w:pPr>
        <w:spacing w:before="0" w:after="160" w:line="259" w:lineRule="auto"/>
      </w:pPr>
      <w:r>
        <w:rPr>
          <w:rFonts w:ascii="Liberation Sans" w:hAnsi="Liberation Sans"/>
          <w:b w:val="0"/>
          <w:i w:val="0"/>
          <w:color w:val="596579"/>
          <w:sz w:val="21"/>
        </w:rPr>
        <w:t>This document records the decisions that should remain stable while the PRD is written. It defines why Kinetexa exists, whom it serves, what makes it meaningfully different, which principles constrain product decisions, and how the hosted and open-source editions relate to one another.</w:t>
      </w:r>
    </w:p>
    <w:tbl>
      <w:tblPr>
        <w:tblW w:type="auto" w:w="0"/>
        <w:jc w:val="center"/>
        <w:tblLayout w:type="autofit"/>
        <w:tblLook w:firstColumn="1" w:firstRow="1" w:lastColumn="0" w:lastRow="0" w:noHBand="0" w:noVBand="1" w:val="04A0"/>
      </w:tblPr>
      <w:tblGrid>
        <w:gridCol w:w="9994"/>
      </w:tblGrid>
      <w:tr>
        <w:tc>
          <w:tcPr>
            <w:tcW w:type="dxa" w:w="9994"/>
            <w:shd w:fill="E8F5F3"/>
            <w:tcMar>
              <w:top w:w="120" w:type="dxa"/>
              <w:start w:w="150" w:type="dxa"/>
              <w:bottom w:w="120" w:type="dxa"/>
              <w:end w:w="150" w:type="dxa"/>
            </w:tcMar>
            <w:tcBorders>
              <w:top w:val="nil"/>
              <w:left w:val="single" w:sz="20" w:color="0F766E"/>
              <w:bottom w:val="nil"/>
              <w:right w:val="nil"/>
            </w:tcBorders>
          </w:tcPr>
          <w:p>
            <w:pPr>
              <w:spacing w:before="0" w:after="60" w:line="252" w:lineRule="auto"/>
            </w:pPr>
            <w:r>
              <w:rPr>
                <w:rFonts w:ascii="Liberation Sans" w:hAnsi="Liberation Sans"/>
                <w:b/>
                <w:color w:val="0F766E"/>
                <w:sz w:val="20"/>
              </w:rPr>
              <w:t>THE PRODUCT IN ONE LINE</w:t>
            </w:r>
          </w:p>
          <w:p>
            <w:pPr>
              <w:spacing w:before="0" w:after="0" w:line="259" w:lineRule="auto"/>
            </w:pPr>
            <w:r>
              <w:rPr>
                <w:rFonts w:ascii="Liberation Sans" w:hAnsi="Liberation Sans"/>
                <w:color w:val="132238"/>
                <w:sz w:val="20"/>
              </w:rPr>
              <w:t>Open fitness intelligence: own your movement data, understand your training, explore your world, and use AI to turn evidence into better decisions.</w:t>
            </w:r>
          </w:p>
        </w:tc>
      </w:tr>
    </w:tbl>
    <w:p>
      <w:pPr>
        <w:spacing w:after="20"/>
      </w:pPr>
    </w:p>
    <w:p>
      <w:pPr>
        <w:keepNext/>
        <w:spacing w:before="140" w:after="100" w:line="240" w:lineRule="auto"/>
      </w:pPr>
      <w:r>
        <w:rPr>
          <w:rFonts w:ascii="Liberation Sans" w:hAnsi="Liberation Sans"/>
          <w:b/>
          <w:color w:val="0F766E"/>
          <w:sz w:val="26"/>
        </w:rPr>
        <w:t>Decisions already locked</w:t>
      </w:r>
    </w:p>
    <w:tbl>
      <w:tblPr>
        <w:tblW w:type="auto" w:w="0"/>
        <w:jc w:val="center"/>
        <w:tblLayout w:type="fixed"/>
        <w:tblLook w:firstColumn="1" w:firstRow="1" w:lastColumn="0" w:lastRow="0" w:noHBand="0" w:noVBand="1" w:val="04A0"/>
      </w:tblPr>
      <w:tblGrid>
        <w:gridCol w:w="4997"/>
        <w:gridCol w:w="4997"/>
      </w:tblGrid>
      <w:tr>
        <w:tc>
          <w:tcPr>
            <w:tcW w:type="dxa" w:w="208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Decision</w:t>
            </w:r>
          </w:p>
        </w:tc>
        <w:tc>
          <w:tcPr>
            <w:tcW w:type="dxa" w:w="756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Aligned direction</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Primary goal</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Build a serious open-source product with potential to become a business, while deliberately maximizing portfolio value for DevOps, cloud and security roles.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Initial audience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Runners and cyclists first; multi-sport endurance architecture from the beginning.</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Experience bar</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Polished consumer product, mobile-first, not a developer-only prototype.</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Product scope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Training science and GIS/maps are equally important and must work together.</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Data strategy</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Imported/original fitness data becomes the canonical user dataset. Providers are connectors, not the source of truth.</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AI</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AI is encouraged as a differentiator, but deterministic analytics remain authoritative.</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Social</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Hosted service can evolve toward friends, feeds, groups and collaborative fitness; Open Solo remains single-user.</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Open source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AGPL-3.0 direction for the solo/core product.</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Monetization</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Charge primarily for managed hosting, synchronization, convenience and network effects rather than paywalling personal analytics.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Hosted stack</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Next.js, shadcn/ui, Convex, WorkOS, PostHog, Resend, Vercel; Stripe when needed.</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Self-hosting</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Easy self-host story is important, but provider/backend portability is intentionally V2 rather than a V1 blocker.</w:t>
            </w:r>
          </w:p>
        </w:tc>
      </w:tr>
    </w:tbl>
    <w:p>
      <w:pPr>
        <w:spacing w:after="40"/>
      </w:pPr>
    </w:p>
    <w:p>
      <w:pPr>
        <w:keepNext/>
        <w:spacing w:before="140" w:after="100" w:line="240" w:lineRule="auto"/>
      </w:pPr>
      <w:r>
        <w:rPr>
          <w:rFonts w:ascii="Liberation Sans" w:hAnsi="Liberation Sans"/>
          <w:b/>
          <w:color w:val="0F766E"/>
          <w:sz w:val="26"/>
        </w:rPr>
        <w:t>What this document does not do</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It does not specify every screen, acceptance criterion, API contract or data schema. Those belong in the PRD and technical design.</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It does not commit to exact provider integrations, storage vendors, worker technology or AI model vendors.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It does not claim that every feature in the long-term vision ships in the first public release.</w:t>
      </w:r>
    </w:p>
    <w:p>
      <w:pPr>
        <w:keepNext/>
        <w:pageBreakBefore/>
        <w:spacing w:before="200" w:after="100" w:line="240" w:lineRule="auto"/>
        <w:pBdr>
          <w:bottom w:val="single" w:sz="14" w:space="3" w:color="0F766E"/>
        </w:pBdr>
      </w:pPr>
      <w:r>
        <w:rPr>
          <w:rFonts w:ascii="Liberation Sans" w:hAnsi="Liberation Sans"/>
          <w:b/>
          <w:color w:val="132238"/>
          <w:sz w:val="38"/>
        </w:rPr>
        <w:t>2. Problem, opportunity and why Kinetexa should exist</w:t>
      </w:r>
    </w:p>
    <w:p>
      <w:pPr>
        <w:keepNext/>
        <w:spacing w:before="140" w:after="100" w:line="240" w:lineRule="auto"/>
      </w:pPr>
      <w:r>
        <w:rPr>
          <w:rFonts w:ascii="Liberation Sans" w:hAnsi="Liberation Sans"/>
          <w:b/>
          <w:color w:val="0F766E"/>
          <w:sz w:val="26"/>
        </w:rPr>
        <w:t>The user problem</w:t>
      </w:r>
    </w:p>
    <w:p>
      <w:pPr>
        <w:spacing w:before="0" w:after="100" w:line="259" w:lineRule="auto"/>
      </w:pPr>
      <w:r>
        <w:rPr>
          <w:rFonts w:ascii="Liberation Sans" w:hAnsi="Liberation Sans"/>
          <w:b w:val="0"/>
          <w:i w:val="0"/>
          <w:color w:val="596579"/>
          <w:sz w:val="20"/>
        </w:rPr>
        <w:t>Fitness data is fragmented across watches, bike computers, training platforms, health ecosystems and proprietary clouds. Users can accumulate years of valuable biometric, geographic and performance history without having a durable, provider-independent view of themselves as an athlete.</w:t>
      </w:r>
    </w:p>
    <w:p>
      <w:pPr>
        <w:spacing w:after="80" w:line="252" w:lineRule="auto"/>
      </w:pPr>
      <w:r>
        <w:rPr>
          <w:rFonts w:ascii="Liberation Sans" w:hAnsi="Liberation Sans"/>
          <w:b/>
          <w:color w:val="132238"/>
          <w:sz w:val="20"/>
        </w:rPr>
        <w:t xml:space="preserve">1. Fragmentation  </w:t>
      </w:r>
      <w:r>
        <w:rPr>
          <w:rFonts w:ascii="Liberation Sans" w:hAnsi="Liberation Sans"/>
          <w:color w:val="596579"/>
          <w:sz w:val="20"/>
        </w:rPr>
        <w:t>Activities, health signals, recovery, routes, sensor streams and training plans live in different systems with incompatible models.</w:t>
      </w:r>
    </w:p>
    <w:p>
      <w:pPr>
        <w:spacing w:after="80" w:line="252" w:lineRule="auto"/>
      </w:pPr>
      <w:r>
        <w:rPr>
          <w:rFonts w:ascii="Liberation Sans" w:hAnsi="Liberation Sans"/>
          <w:b/>
          <w:color w:val="132238"/>
          <w:sz w:val="20"/>
        </w:rPr>
        <w:t xml:space="preserve">2. Black-box metrics  </w:t>
      </w:r>
      <w:r>
        <w:rPr>
          <w:rFonts w:ascii="Liberation Sans" w:hAnsi="Liberation Sans"/>
          <w:color w:val="596579"/>
          <w:sz w:val="20"/>
        </w:rPr>
        <w:t>Fitness, recovery and performance scores are often shown without enough visibility into their formulas, inputs or limitations.</w:t>
      </w:r>
    </w:p>
    <w:p>
      <w:pPr>
        <w:spacing w:after="80" w:line="252" w:lineRule="auto"/>
      </w:pPr>
      <w:r>
        <w:rPr>
          <w:rFonts w:ascii="Liberation Sans" w:hAnsi="Liberation Sans"/>
          <w:b/>
          <w:color w:val="132238"/>
          <w:sz w:val="20"/>
        </w:rPr>
        <w:t xml:space="preserve">3. Weak portability  </w:t>
      </w:r>
      <w:r>
        <w:rPr>
          <w:rFonts w:ascii="Liberation Sans" w:hAnsi="Liberation Sans"/>
          <w:color w:val="596579"/>
          <w:sz w:val="20"/>
        </w:rPr>
        <w:t>Changing platforms can mean losing workflows, derived insights, social context or easy access to historical data.</w:t>
      </w:r>
    </w:p>
    <w:p>
      <w:pPr>
        <w:spacing w:after="80" w:line="252" w:lineRule="auto"/>
      </w:pPr>
      <w:r>
        <w:rPr>
          <w:rFonts w:ascii="Liberation Sans" w:hAnsi="Liberation Sans"/>
          <w:b/>
          <w:color w:val="132238"/>
          <w:sz w:val="20"/>
        </w:rPr>
        <w:t xml:space="preserve">4. Shallow customization  </w:t>
      </w:r>
      <w:r>
        <w:rPr>
          <w:rFonts w:ascii="Liberation Sans" w:hAnsi="Liberation Sans"/>
          <w:color w:val="596579"/>
          <w:sz w:val="20"/>
        </w:rPr>
        <w:t>Most consumer products decide which charts and metrics matter instead of letting advanced users explore their own questions.</w:t>
      </w:r>
    </w:p>
    <w:p>
      <w:pPr>
        <w:spacing w:after="80" w:line="252" w:lineRule="auto"/>
      </w:pPr>
      <w:r>
        <w:rPr>
          <w:rFonts w:ascii="Liberation Sans" w:hAnsi="Liberation Sans"/>
          <w:b/>
          <w:color w:val="132238"/>
          <w:sz w:val="20"/>
        </w:rPr>
        <w:t xml:space="preserve">5. Separation of map and physiology  </w:t>
      </w:r>
      <w:r>
        <w:rPr>
          <w:rFonts w:ascii="Liberation Sans" w:hAnsi="Liberation Sans"/>
          <w:color w:val="596579"/>
          <w:sz w:val="20"/>
        </w:rPr>
        <w:t>Route history, geographic exploration and training science are usually treated as separate product domains.</w:t>
      </w:r>
    </w:p>
    <w:p>
      <w:pPr>
        <w:spacing w:after="80" w:line="252" w:lineRule="auto"/>
      </w:pPr>
      <w:r>
        <w:rPr>
          <w:rFonts w:ascii="Liberation Sans" w:hAnsi="Liberation Sans"/>
          <w:b/>
          <w:color w:val="132238"/>
          <w:sz w:val="20"/>
        </w:rPr>
        <w:t xml:space="preserve">6. AI without grounding  </w:t>
      </w:r>
      <w:r>
        <w:rPr>
          <w:rFonts w:ascii="Liberation Sans" w:hAnsi="Liberation Sans"/>
          <w:color w:val="596579"/>
          <w:sz w:val="20"/>
        </w:rPr>
        <w:t>A generic chatbot over workout text is not sufficient; useful fitness intelligence must be grounded in deterministic calculations and structured data.</w:t>
      </w:r>
    </w:p>
    <w:p>
      <w:pPr>
        <w:keepNext/>
        <w:spacing w:before="140" w:after="100" w:line="240" w:lineRule="auto"/>
      </w:pPr>
      <w:r>
        <w:rPr>
          <w:rFonts w:ascii="Liberation Sans" w:hAnsi="Liberation Sans"/>
          <w:b/>
          <w:color w:val="0F766E"/>
          <w:sz w:val="26"/>
        </w:rPr>
        <w:t>The opportunity</w:t>
      </w:r>
    </w:p>
    <w:tbl>
      <w:tblPr>
        <w:tblW w:type="auto" w:w="0"/>
        <w:jc w:val="center"/>
        <w:tblLayout w:type="autofit"/>
        <w:tblLook w:firstColumn="1" w:firstRow="1" w:lastColumn="0" w:lastRow="0" w:noHBand="0" w:noVBand="1" w:val="04A0"/>
      </w:tblPr>
      <w:tblGrid>
        <w:gridCol w:w="9994"/>
      </w:tblGrid>
      <w:tr>
        <w:tc>
          <w:tcPr>
            <w:tcW w:type="dxa" w:w="9994"/>
            <w:shd w:fill="EEF4FF"/>
            <w:tcMar>
              <w:top w:w="120" w:type="dxa"/>
              <w:start w:w="150" w:type="dxa"/>
              <w:bottom w:w="120" w:type="dxa"/>
              <w:end w:w="150" w:type="dxa"/>
            </w:tcMar>
            <w:tcBorders>
              <w:top w:val="nil"/>
              <w:left w:val="single" w:sz="20" w:color="2563EB"/>
              <w:bottom w:val="nil"/>
              <w:right w:val="nil"/>
            </w:tcBorders>
          </w:tcPr>
          <w:p>
            <w:pPr>
              <w:spacing w:before="0" w:after="60" w:line="252" w:lineRule="auto"/>
            </w:pPr>
            <w:r>
              <w:rPr>
                <w:rFonts w:ascii="Liberation Sans" w:hAnsi="Liberation Sans"/>
                <w:b/>
                <w:color w:val="2563EB"/>
                <w:sz w:val="20"/>
              </w:rPr>
              <w:t>POSITIONING GAP</w:t>
            </w:r>
          </w:p>
          <w:p>
            <w:pPr>
              <w:spacing w:before="0" w:after="0" w:line="259" w:lineRule="auto"/>
            </w:pPr>
            <w:r>
              <w:rPr>
                <w:rFonts w:ascii="Liberation Sans" w:hAnsi="Liberation Sans"/>
                <w:color w:val="132238"/>
                <w:sz w:val="20"/>
              </w:rPr>
              <w:t>Kinetexa should not compete by being “Strava, but free.” It should become the user-owned intelligence layer beneath fitness providers: premium consumer UX on top, transparent analytics and deep technical controls underneath.</w:t>
            </w:r>
          </w:p>
        </w:tc>
      </w:tr>
    </w:tbl>
    <w:p>
      <w:pPr>
        <w:spacing w:after="20"/>
      </w:pPr>
    </w:p>
    <w:p>
      <w:pPr>
        <w:keepNext/>
        <w:spacing w:before="140" w:after="100" w:line="240" w:lineRule="auto"/>
      </w:pPr>
      <w:r>
        <w:rPr>
          <w:rFonts w:ascii="Liberation Sans" w:hAnsi="Liberation Sans"/>
          <w:b/>
          <w:color w:val="0F766E"/>
          <w:sz w:val="26"/>
        </w:rPr>
        <w:t>Why this is a strong project</w:t>
      </w:r>
    </w:p>
    <w:p>
      <w:pPr>
        <w:spacing w:before="0" w:after="100" w:line="259" w:lineRule="auto"/>
      </w:pPr>
      <w:r>
        <w:rPr>
          <w:rFonts w:ascii="Liberation Sans" w:hAnsi="Liberation Sans"/>
          <w:b w:val="0"/>
          <w:i w:val="0"/>
          <w:color w:val="596579"/>
          <w:sz w:val="20"/>
        </w:rPr>
        <w:t>The product naturally requires difficult engineering across data ingestion, geospatial processing, time-series analysis, cloud infrastructure, authentication, privacy, observability, CI/CD and eventually extensibility. That means product value and portfolio value reinforce each other rather than competing.</w:t>
      </w:r>
    </w:p>
    <w:p>
      <w:pPr>
        <w:keepNext/>
        <w:pageBreakBefore/>
        <w:spacing w:before="200" w:after="100" w:line="240" w:lineRule="auto"/>
        <w:pBdr>
          <w:bottom w:val="single" w:sz="14" w:space="3" w:color="0F766E"/>
        </w:pBdr>
      </w:pPr>
      <w:r>
        <w:rPr>
          <w:rFonts w:ascii="Liberation Sans" w:hAnsi="Liberation Sans"/>
          <w:b/>
          <w:color w:val="132238"/>
          <w:sz w:val="38"/>
        </w:rPr>
        <w:t>3. Vision, mission and positioning</w:t>
      </w:r>
    </w:p>
    <w:p>
      <w:pPr>
        <w:keepNext/>
        <w:spacing w:before="140" w:after="100" w:line="240" w:lineRule="auto"/>
      </w:pPr>
      <w:r>
        <w:rPr>
          <w:rFonts w:ascii="Liberation Sans" w:hAnsi="Liberation Sans"/>
          <w:b/>
          <w:color w:val="0F766E"/>
          <w:sz w:val="26"/>
        </w:rPr>
        <w:t>Vision</w:t>
      </w:r>
    </w:p>
    <w:p>
      <w:pPr>
        <w:spacing w:before="0" w:after="100" w:line="259" w:lineRule="auto"/>
      </w:pPr>
      <w:r>
        <w:rPr>
          <w:rFonts w:ascii="Liberation Sans" w:hAnsi="Liberation Sans"/>
          <w:b/>
          <w:i w:val="0"/>
          <w:color w:val="132238"/>
          <w:sz w:val="22"/>
        </w:rPr>
        <w:t>Every athlete should be able to own a complete, portable and understandable record of their movement, health and training - independent of whichever device or platform they use today.</w:t>
      </w:r>
    </w:p>
    <w:p>
      <w:pPr>
        <w:keepNext/>
        <w:spacing w:before="140" w:after="100" w:line="240" w:lineRule="auto"/>
      </w:pPr>
      <w:r>
        <w:rPr>
          <w:rFonts w:ascii="Liberation Sans" w:hAnsi="Liberation Sans"/>
          <w:b/>
          <w:color w:val="0F766E"/>
          <w:sz w:val="26"/>
        </w:rPr>
        <w:t>Mission</w:t>
      </w:r>
    </w:p>
    <w:p>
      <w:pPr>
        <w:spacing w:before="0" w:after="100" w:line="259" w:lineRule="auto"/>
      </w:pPr>
      <w:r>
        <w:rPr>
          <w:rFonts w:ascii="Liberation Sans" w:hAnsi="Liberation Sans"/>
          <w:b w:val="0"/>
          <w:i w:val="0"/>
          <w:color w:val="596579"/>
          <w:sz w:val="20"/>
        </w:rPr>
        <w:t>Build the best open fitness intelligence platform: continuously unify athlete data, make advanced training science understandable, combine it with powerful geospatial exploration, and provide trustworthy AI that helps users decide what to do next.</w:t>
      </w:r>
    </w:p>
    <w:p>
      <w:pPr>
        <w:keepNext/>
        <w:spacing w:before="140" w:after="100" w:line="240" w:lineRule="auto"/>
      </w:pPr>
      <w:r>
        <w:rPr>
          <w:rFonts w:ascii="Liberation Sans" w:hAnsi="Liberation Sans"/>
          <w:b/>
          <w:color w:val="0F766E"/>
          <w:sz w:val="26"/>
        </w:rPr>
        <w:t>Working category</w:t>
      </w:r>
    </w:p>
    <w:p>
      <w:pPr>
        <w:spacing w:before="0" w:after="100" w:line="259" w:lineRule="auto"/>
      </w:pPr>
      <w:r>
        <w:rPr>
          <w:rFonts w:ascii="Liberation Sans" w:hAnsi="Liberation Sans"/>
          <w:b/>
          <w:i w:val="0"/>
          <w:color w:val="0F766E"/>
          <w:sz w:val="24"/>
        </w:rPr>
        <w:t>Open fitness intelligence platform</w:t>
      </w:r>
    </w:p>
    <w:p>
      <w:pPr>
        <w:spacing w:before="0" w:after="100" w:line="259" w:lineRule="auto"/>
      </w:pPr>
      <w:r>
        <w:rPr>
          <w:rFonts w:ascii="Liberation Sans" w:hAnsi="Liberation Sans"/>
          <w:b w:val="0"/>
          <w:i w:val="0"/>
          <w:color w:val="596579"/>
          <w:sz w:val="20"/>
        </w:rPr>
        <w:t>This category is intentionally broader than “activity tracker,” “training log,” “fitness dashboard,” or “Strava alternative.”</w:t>
      </w:r>
    </w:p>
    <w:p>
      <w:pPr>
        <w:keepNext/>
        <w:spacing w:before="140" w:after="100" w:line="240" w:lineRule="auto"/>
      </w:pPr>
      <w:r>
        <w:rPr>
          <w:rFonts w:ascii="Liberation Sans" w:hAnsi="Liberation Sans"/>
          <w:b/>
          <w:color w:val="0F766E"/>
          <w:sz w:val="26"/>
        </w:rPr>
        <w:t>Working value proposition</w:t>
      </w:r>
    </w:p>
    <w:tbl>
      <w:tblPr>
        <w:tblW w:type="auto" w:w="0"/>
        <w:jc w:val="center"/>
        <w:tblLayout w:type="autofit"/>
        <w:tblLook w:firstColumn="1" w:firstRow="1" w:lastColumn="0" w:lastRow="0" w:noHBand="0" w:noVBand="1" w:val="04A0"/>
      </w:tblPr>
      <w:tblGrid>
        <w:gridCol w:w="9994"/>
      </w:tblGrid>
      <w:tr>
        <w:tc>
          <w:tcPr>
            <w:tcW w:type="dxa" w:w="9994"/>
            <w:shd w:fill="E8F5F3"/>
            <w:tcMar>
              <w:top w:w="120" w:type="dxa"/>
              <w:start w:w="150" w:type="dxa"/>
              <w:bottom w:w="120" w:type="dxa"/>
              <w:end w:w="150" w:type="dxa"/>
            </w:tcMar>
            <w:tcBorders>
              <w:top w:val="nil"/>
              <w:left w:val="single" w:sz="20" w:color="0F766E"/>
              <w:bottom w:val="nil"/>
              <w:right w:val="nil"/>
            </w:tcBorders>
          </w:tcPr>
          <w:p>
            <w:pPr>
              <w:spacing w:before="0" w:after="60" w:line="252" w:lineRule="auto"/>
            </w:pPr>
            <w:r>
              <w:rPr>
                <w:rFonts w:ascii="Liberation Sans" w:hAnsi="Liberation Sans"/>
                <w:b/>
                <w:color w:val="0F766E"/>
                <w:sz w:val="20"/>
              </w:rPr>
              <w:t>VALUE PROPOSITION</w:t>
            </w:r>
          </w:p>
          <w:p>
            <w:pPr>
              <w:spacing w:before="0" w:after="0" w:line="259" w:lineRule="auto"/>
            </w:pPr>
            <w:r>
              <w:rPr>
                <w:rFonts w:ascii="Liberation Sans" w:hAnsi="Liberation Sans"/>
                <w:color w:val="132238"/>
                <w:sz w:val="20"/>
              </w:rPr>
              <w:t>Own your fitness data and turn it into explainable, personalized intelligence - across providers, sports, maps, health signals and training goals.</w:t>
            </w:r>
          </w:p>
        </w:tc>
      </w:tr>
    </w:tbl>
    <w:p>
      <w:pPr>
        <w:spacing w:after="20"/>
      </w:pPr>
    </w:p>
    <w:p>
      <w:pPr>
        <w:keepNext/>
        <w:spacing w:before="140" w:after="100" w:line="240" w:lineRule="auto"/>
      </w:pPr>
      <w:r>
        <w:rPr>
          <w:rFonts w:ascii="Liberation Sans" w:hAnsi="Liberation Sans"/>
          <w:b/>
          <w:color w:val="0F766E"/>
          <w:sz w:val="26"/>
        </w:rPr>
        <w:t>Buzzword-rich working description</w:t>
      </w:r>
    </w:p>
    <w:p>
      <w:pPr>
        <w:spacing w:before="0" w:after="100" w:line="259" w:lineRule="auto"/>
      </w:pPr>
      <w:r>
        <w:rPr>
          <w:rFonts w:ascii="Liberation Sans" w:hAnsi="Liberation Sans"/>
          <w:b w:val="0"/>
          <w:i w:val="0"/>
          <w:color w:val="596579"/>
          <w:sz w:val="20"/>
        </w:rPr>
        <w:t>Kinetexa is an open-source, privacy-first, AI-native, self-hostable, multi-provider, cloud-native, mobile-first, explainable, extensible, developer-friendly and data-sovereign fitness intelligence platform.</w:t>
      </w:r>
    </w:p>
    <w:p>
      <w:pPr>
        <w:spacing w:before="0" w:after="100" w:line="259" w:lineRule="auto"/>
      </w:pPr>
      <w:r>
        <w:rPr>
          <w:rFonts w:ascii="Liberation Sans" w:hAnsi="Liberation Sans"/>
          <w:b w:val="0"/>
          <w:i/>
          <w:color w:val="596579"/>
          <w:sz w:val="17"/>
        </w:rPr>
        <w:t>This wording is intentionally maximal for now. Marketing will later simplify it into a clearer promise once the product and brand voice are mature.</w:t>
      </w:r>
    </w:p>
    <w:p>
      <w:pPr>
        <w:keepNext/>
        <w:spacing w:before="140" w:after="100" w:line="240" w:lineRule="auto"/>
      </w:pPr>
      <w:r>
        <w:rPr>
          <w:rFonts w:ascii="Liberation Sans" w:hAnsi="Liberation Sans"/>
          <w:b/>
          <w:color w:val="0F766E"/>
          <w:sz w:val="26"/>
        </w:rPr>
        <w:t>Brand direction</w:t>
      </w:r>
    </w:p>
    <w:tbl>
      <w:tblPr>
        <w:tblW w:type="auto" w:w="0"/>
        <w:jc w:val="center"/>
        <w:tblLayout w:type="fixed"/>
        <w:tblLook w:firstColumn="1" w:firstRow="1" w:lastColumn="0" w:lastRow="0" w:noHBand="0" w:noVBand="1" w:val="04A0"/>
      </w:tblPr>
      <w:tblGrid>
        <w:gridCol w:w="4997"/>
        <w:gridCol w:w="4997"/>
      </w:tblGrid>
      <w:tr>
        <w:tc>
          <w:tcPr>
            <w:tcW w:type="dxa" w:w="2232"/>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Dimension</w:t>
            </w:r>
          </w:p>
        </w:tc>
        <w:tc>
          <w:tcPr>
            <w:tcW w:type="dxa" w:w="741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Direction</w:t>
            </w:r>
          </w:p>
        </w:tc>
      </w:tr>
      <w:tr>
        <w:tc>
          <w:tcPr>
            <w:tcW w:type="dxa" w:w="223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Working name</w:t>
            </w:r>
          </w:p>
        </w:tc>
        <w:tc>
          <w:tcPr>
            <w:tcW w:type="dxa" w:w="741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Kinetexa</w:t>
            </w:r>
          </w:p>
        </w:tc>
      </w:tr>
      <w:tr>
        <w:tc>
          <w:tcPr>
            <w:tcW w:type="dxa" w:w="223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Brand character</w:t>
            </w:r>
          </w:p>
        </w:tc>
        <w:tc>
          <w:tcPr>
            <w:tcW w:type="dxa" w:w="741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Premium sports product with unusually deep technical controls.</w:t>
            </w:r>
          </w:p>
        </w:tc>
      </w:tr>
      <w:tr>
        <w:tc>
          <w:tcPr>
            <w:tcW w:type="dxa" w:w="223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Visual aspiration</w:t>
            </w:r>
          </w:p>
        </w:tc>
        <w:tc>
          <w:tcPr>
            <w:tcW w:type="dxa" w:w="741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Clean, confident, high-performance consumer UI rather than “open-source admin dashboard.”</w:t>
            </w:r>
          </w:p>
        </w:tc>
      </w:tr>
      <w:tr>
        <w:tc>
          <w:tcPr>
            <w:tcW w:type="dxa" w:w="223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Technical aspiration</w:t>
            </w:r>
          </w:p>
        </w:tc>
        <w:tc>
          <w:tcPr>
            <w:tcW w:type="dxa" w:w="741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Power-user depth is discoverable through progressive disclosure rather than dominating the default experience.</w:t>
            </w:r>
          </w:p>
        </w:tc>
      </w:tr>
      <w:tr>
        <w:tc>
          <w:tcPr>
            <w:tcW w:type="dxa" w:w="223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Name status</w:t>
            </w:r>
          </w:p>
        </w:tc>
        <w:tc>
          <w:tcPr>
            <w:tcW w:type="dxa" w:w="741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Preferred working name; formal trademark and handle clearance still required before major brand investment.</w:t>
            </w:r>
          </w:p>
        </w:tc>
      </w:tr>
    </w:tbl>
    <w:p>
      <w:pPr>
        <w:spacing w:after="40"/>
      </w:pPr>
    </w:p>
    <w:p>
      <w:pPr>
        <w:keepNext/>
        <w:pageBreakBefore/>
        <w:spacing w:before="200" w:after="100" w:line="240" w:lineRule="auto"/>
        <w:pBdr>
          <w:bottom w:val="single" w:sz="14" w:space="3" w:color="0F766E"/>
        </w:pBdr>
      </w:pPr>
      <w:r>
        <w:rPr>
          <w:rFonts w:ascii="Liberation Sans" w:hAnsi="Liberation Sans"/>
          <w:b/>
          <w:color w:val="132238"/>
          <w:sz w:val="38"/>
        </w:rPr>
        <w:t>4. Target users and jobs to be done</w:t>
      </w:r>
    </w:p>
    <w:p>
      <w:pPr>
        <w:keepNext/>
        <w:spacing w:before="140" w:after="100" w:line="240" w:lineRule="auto"/>
      </w:pPr>
      <w:r>
        <w:rPr>
          <w:rFonts w:ascii="Liberation Sans" w:hAnsi="Liberation Sans"/>
          <w:b/>
          <w:color w:val="0F766E"/>
          <w:sz w:val="26"/>
        </w:rPr>
        <w:t>Primary launch audience</w:t>
      </w:r>
    </w:p>
    <w:tbl>
      <w:tblPr>
        <w:tblW w:type="auto" w:w="0"/>
        <w:jc w:val="center"/>
        <w:tblLayout w:type="fixed"/>
        <w:tblLook w:firstColumn="1" w:firstRow="1" w:lastColumn="0" w:lastRow="0" w:noHBand="0" w:noVBand="1" w:val="04A0"/>
      </w:tblPr>
      <w:tblGrid>
        <w:gridCol w:w="4997"/>
        <w:gridCol w:w="4997"/>
      </w:tblGrid>
      <w:tr>
        <w:tc>
          <w:tcPr>
            <w:tcW w:type="dxa" w:w="237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User</w:t>
            </w:r>
          </w:p>
        </w:tc>
        <w:tc>
          <w:tcPr>
            <w:tcW w:type="dxa" w:w="7272"/>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Core motivation</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Data-conscious runner</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Wants better longitudinal insight than a standard activity feed, without needing to understand sports science first.</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Data-conscious cyclist</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Has richer sensor data (power, cadence, HR, GPS) and expects serious activity analysis, comparison and route intelligence.</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Quantified-self athlete</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Wants custom queries, explainable formulas, multi-source data and a complete personal dataset.</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Privacy/self-host enthusiast</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Wants control, exportability and the option to run the solo product independently.</w:t>
            </w:r>
          </w:p>
        </w:tc>
      </w:tr>
    </w:tbl>
    <w:p>
      <w:pPr>
        <w:spacing w:after="40"/>
      </w:pPr>
    </w:p>
    <w:p>
      <w:pPr>
        <w:keepNext/>
        <w:spacing w:before="140" w:after="100" w:line="240" w:lineRule="auto"/>
      </w:pPr>
      <w:r>
        <w:rPr>
          <w:rFonts w:ascii="Liberation Sans" w:hAnsi="Liberation Sans"/>
          <w:b/>
          <w:color w:val="0F766E"/>
          <w:sz w:val="26"/>
        </w:rPr>
        <w:t>Secondary users later</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General endurance athletes beyond running and cycling.</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Social groups, clubs and friends using collaborative maps, shared goals and competitions.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Coaches, teams and organizations - explicitly deferred until meaningful traction exists.</w:t>
      </w:r>
    </w:p>
    <w:p>
      <w:pPr>
        <w:keepNext/>
        <w:spacing w:before="140" w:after="100" w:line="240" w:lineRule="auto"/>
      </w:pPr>
      <w:r>
        <w:rPr>
          <w:rFonts w:ascii="Liberation Sans" w:hAnsi="Liberation Sans"/>
          <w:b/>
          <w:color w:val="0F766E"/>
          <w:sz w:val="26"/>
        </w:rPr>
        <w:t>Core jobs to be done</w:t>
      </w:r>
    </w:p>
    <w:p>
      <w:pPr>
        <w:spacing w:after="80" w:line="252" w:lineRule="auto"/>
      </w:pPr>
      <w:r>
        <w:rPr>
          <w:rFonts w:ascii="Liberation Sans" w:hAnsi="Liberation Sans"/>
          <w:b/>
          <w:color w:val="132238"/>
          <w:sz w:val="20"/>
        </w:rPr>
        <w:t xml:space="preserve">1. Unify my history  </w:t>
      </w:r>
      <w:r>
        <w:rPr>
          <w:rFonts w:ascii="Liberation Sans" w:hAnsi="Liberation Sans"/>
          <w:color w:val="596579"/>
          <w:sz w:val="20"/>
        </w:rPr>
        <w:t>Connect my providers once and keep a durable, normalized record of my activities and health signals.</w:t>
      </w:r>
    </w:p>
    <w:p>
      <w:pPr>
        <w:spacing w:after="80" w:line="252" w:lineRule="auto"/>
      </w:pPr>
      <w:r>
        <w:rPr>
          <w:rFonts w:ascii="Liberation Sans" w:hAnsi="Liberation Sans"/>
          <w:b/>
          <w:color w:val="132238"/>
          <w:sz w:val="20"/>
        </w:rPr>
        <w:t xml:space="preserve">2. Understand my fitness  </w:t>
      </w:r>
      <w:r>
        <w:rPr>
          <w:rFonts w:ascii="Liberation Sans" w:hAnsi="Liberation Sans"/>
          <w:color w:val="596579"/>
          <w:sz w:val="20"/>
        </w:rPr>
        <w:t>Show how my performance, load, efficiency, recovery and consistency are changing - and explain why.</w:t>
      </w:r>
    </w:p>
    <w:p>
      <w:pPr>
        <w:spacing w:after="80" w:line="252" w:lineRule="auto"/>
      </w:pPr>
      <w:r>
        <w:rPr>
          <w:rFonts w:ascii="Liberation Sans" w:hAnsi="Liberation Sans"/>
          <w:b/>
          <w:color w:val="132238"/>
          <w:sz w:val="20"/>
        </w:rPr>
        <w:t xml:space="preserve">3. Inspect any workout  </w:t>
      </w:r>
      <w:r>
        <w:rPr>
          <w:rFonts w:ascii="Liberation Sans" w:hAnsi="Liberation Sans"/>
          <w:color w:val="596579"/>
          <w:sz w:val="20"/>
        </w:rPr>
        <w:t>Let me deeply analyze GPS, pace, heart rate, power, cadence, elevation and other sensor streams.</w:t>
      </w:r>
    </w:p>
    <w:p>
      <w:pPr>
        <w:spacing w:after="80" w:line="252" w:lineRule="auto"/>
      </w:pPr>
      <w:r>
        <w:rPr>
          <w:rFonts w:ascii="Liberation Sans" w:hAnsi="Liberation Sans"/>
          <w:b/>
          <w:color w:val="132238"/>
          <w:sz w:val="20"/>
        </w:rPr>
        <w:t xml:space="preserve">4. Explore geographically  </w:t>
      </w:r>
      <w:r>
        <w:rPr>
          <w:rFonts w:ascii="Liberation Sans" w:hAnsi="Liberation Sans"/>
          <w:color w:val="596579"/>
          <w:sz w:val="20"/>
        </w:rPr>
        <w:t>Show where I have trained, what I have not explored, and how geography relates to performance.</w:t>
      </w:r>
    </w:p>
    <w:p>
      <w:pPr>
        <w:spacing w:after="80" w:line="252" w:lineRule="auto"/>
      </w:pPr>
      <w:r>
        <w:rPr>
          <w:rFonts w:ascii="Liberation Sans" w:hAnsi="Liberation Sans"/>
          <w:b/>
          <w:color w:val="132238"/>
          <w:sz w:val="20"/>
        </w:rPr>
        <w:t xml:space="preserve">5. Ask my own questions  </w:t>
      </w:r>
      <w:r>
        <w:rPr>
          <w:rFonts w:ascii="Liberation Sans" w:hAnsi="Liberation Sans"/>
          <w:color w:val="596579"/>
          <w:sz w:val="20"/>
        </w:rPr>
        <w:t>Let me filter, compare, query and eventually define custom metrics instead of accepting a fixed dashboard.</w:t>
      </w:r>
    </w:p>
    <w:p>
      <w:pPr>
        <w:spacing w:after="80" w:line="252" w:lineRule="auto"/>
      </w:pPr>
      <w:r>
        <w:rPr>
          <w:rFonts w:ascii="Liberation Sans" w:hAnsi="Liberation Sans"/>
          <w:b/>
          <w:color w:val="132238"/>
          <w:sz w:val="20"/>
        </w:rPr>
        <w:t xml:space="preserve">6. Plan what comes next  </w:t>
      </w:r>
      <w:r>
        <w:rPr>
          <w:rFonts w:ascii="Liberation Sans" w:hAnsi="Liberation Sans"/>
          <w:color w:val="596579"/>
          <w:sz w:val="20"/>
        </w:rPr>
        <w:t>Use goals, history and recovery signals to recommend or build future training.</w:t>
      </w:r>
    </w:p>
    <w:p>
      <w:pPr>
        <w:spacing w:after="80" w:line="252" w:lineRule="auto"/>
      </w:pPr>
      <w:r>
        <w:rPr>
          <w:rFonts w:ascii="Liberation Sans" w:hAnsi="Liberation Sans"/>
          <w:b/>
          <w:color w:val="132238"/>
          <w:sz w:val="20"/>
        </w:rPr>
        <w:t xml:space="preserve">7. Share selectively  </w:t>
      </w:r>
      <w:r>
        <w:rPr>
          <w:rFonts w:ascii="Liberation Sans" w:hAnsi="Liberation Sans"/>
          <w:color w:val="596579"/>
          <w:sz w:val="20"/>
        </w:rPr>
        <w:t>Let me share achievements, dashboards or activities without exposing private raw data by default.</w:t>
      </w:r>
    </w:p>
    <w:p>
      <w:pPr>
        <w:spacing w:after="80" w:line="252" w:lineRule="auto"/>
      </w:pPr>
      <w:r>
        <w:rPr>
          <w:rFonts w:ascii="Liberation Sans" w:hAnsi="Liberation Sans"/>
          <w:b/>
          <w:color w:val="132238"/>
          <w:sz w:val="20"/>
        </w:rPr>
        <w:t xml:space="preserve">8. Leave whenever I want  </w:t>
      </w:r>
      <w:r>
        <w:rPr>
          <w:rFonts w:ascii="Liberation Sans" w:hAnsi="Liberation Sans"/>
          <w:color w:val="596579"/>
          <w:sz w:val="20"/>
        </w:rPr>
        <w:t>Give me complete exports and a usable dataset rather than making the platform itself the lock-in mechanism.</w:t>
      </w:r>
    </w:p>
    <w:p>
      <w:pPr>
        <w:keepNext/>
        <w:pageBreakBefore/>
        <w:spacing w:before="200" w:after="100" w:line="240" w:lineRule="auto"/>
        <w:pBdr>
          <w:bottom w:val="single" w:sz="14" w:space="3" w:color="0F766E"/>
        </w:pBdr>
      </w:pPr>
      <w:r>
        <w:rPr>
          <w:rFonts w:ascii="Liberation Sans" w:hAnsi="Liberation Sans"/>
          <w:b/>
          <w:color w:val="132238"/>
          <w:sz w:val="38"/>
        </w:rPr>
        <w:t>5. Product principles</w:t>
      </w: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1</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The user owns the canonical dataset</w:t>
            </w:r>
          </w:p>
          <w:p>
            <w:pPr>
              <w:spacing w:before="0" w:after="0" w:line="252" w:lineRule="auto"/>
            </w:pPr>
            <w:r>
              <w:rPr>
                <w:rFonts w:ascii="Liberation Sans" w:hAnsi="Liberation Sans"/>
                <w:color w:val="596579"/>
                <w:sz w:val="18"/>
              </w:rPr>
              <w:t>Provider integrations feed Kinetexa; they do not define the lifetime or shape of the user’s history.</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2</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Connect once, then disappear</w:t>
            </w:r>
          </w:p>
          <w:p>
            <w:pPr>
              <w:spacing w:before="0" w:after="0" w:line="252" w:lineRule="auto"/>
            </w:pPr>
            <w:r>
              <w:rPr>
                <w:rFonts w:ascii="Liberation Sans" w:hAnsi="Liberation Sans"/>
                <w:color w:val="596579"/>
                <w:sz w:val="18"/>
              </w:rPr>
              <w:t>Where provider capabilities allow it, ongoing synchronization should be automatic and reliable after initial authorization.</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3</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Evidence before explanation</w:t>
            </w:r>
          </w:p>
          <w:p>
            <w:pPr>
              <w:spacing w:before="0" w:after="0" w:line="252" w:lineRule="auto"/>
            </w:pPr>
            <w:r>
              <w:rPr>
                <w:rFonts w:ascii="Liberation Sans" w:hAnsi="Liberation Sans"/>
                <w:color w:val="596579"/>
                <w:sz w:val="18"/>
              </w:rPr>
              <w:t>Calculations, metrics and GIS outputs are deterministic. AI interprets and communicates them rather than inventing them.</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4</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Explain the number</w:t>
            </w:r>
          </w:p>
          <w:p>
            <w:pPr>
              <w:spacing w:before="0" w:after="0" w:line="252" w:lineRule="auto"/>
            </w:pPr>
            <w:r>
              <w:rPr>
                <w:rFonts w:ascii="Liberation Sans" w:hAnsi="Liberation Sans"/>
                <w:color w:val="596579"/>
                <w:sz w:val="18"/>
              </w:rPr>
              <w:t>Any important derived score should expose its model, inputs, assumptions and history through progressive disclosure.</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5</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Maps and training are one product</w:t>
            </w:r>
          </w:p>
          <w:p>
            <w:pPr>
              <w:spacing w:before="0" w:after="0" w:line="252" w:lineRule="auto"/>
            </w:pPr>
            <w:r>
              <w:rPr>
                <w:rFonts w:ascii="Liberation Sans" w:hAnsi="Liberation Sans"/>
                <w:color w:val="596579"/>
                <w:sz w:val="18"/>
              </w:rPr>
              <w:t>Geography and physiology share the same data model and should produce combined insights.</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6</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Power without intimidation</w:t>
            </w:r>
          </w:p>
          <w:p>
            <w:pPr>
              <w:spacing w:before="0" w:after="0" w:line="252" w:lineRule="auto"/>
            </w:pPr>
            <w:r>
              <w:rPr>
                <w:rFonts w:ascii="Liberation Sans" w:hAnsi="Liberation Sans"/>
                <w:color w:val="596579"/>
                <w:sz w:val="18"/>
              </w:rPr>
              <w:t>The default experience should feel premium and obvious; advanced controls appear when users ask for more depth.</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7</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Private by default</w:t>
            </w:r>
          </w:p>
          <w:p>
            <w:pPr>
              <w:spacing w:before="0" w:after="0" w:line="252" w:lineRule="auto"/>
            </w:pPr>
            <w:r>
              <w:rPr>
                <w:rFonts w:ascii="Liberation Sans" w:hAnsi="Liberation Sans"/>
                <w:color w:val="596579"/>
                <w:sz w:val="18"/>
              </w:rPr>
              <w:t>Profiles, activities and sensitive location information start private. Sharing is explicit.</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8</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Open does not mean crippled</w:t>
            </w:r>
          </w:p>
          <w:p>
            <w:pPr>
              <w:spacing w:before="0" w:after="0" w:line="252" w:lineRule="auto"/>
            </w:pPr>
            <w:r>
              <w:rPr>
                <w:rFonts w:ascii="Liberation Sans" w:hAnsi="Liberation Sans"/>
                <w:color w:val="596579"/>
                <w:sz w:val="18"/>
              </w:rPr>
              <w:t>Personal analytics, maps, metrics and core intelligence belong in the open solo product.</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9</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Cloud earns money through service and network</w:t>
            </w:r>
          </w:p>
          <w:p>
            <w:pPr>
              <w:spacing w:before="0" w:after="0" w:line="252" w:lineRule="auto"/>
            </w:pPr>
            <w:r>
              <w:rPr>
                <w:rFonts w:ascii="Liberation Sans" w:hAnsi="Liberation Sans"/>
                <w:color w:val="596579"/>
                <w:sz w:val="18"/>
              </w:rPr>
              <w:t>Managed infrastructure, synchronization, social features and convenience justify hosted pricing.</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792"/>
            <w:shd w:fill="0F766E"/>
            <w:tcMar>
              <w:top w:w="100" w:type="dxa"/>
              <w:start w:w="50" w:type="dxa"/>
              <w:bottom w:w="100" w:type="dxa"/>
              <w:end w:w="50" w:type="dxa"/>
            </w:tcMar>
          </w:tcPr>
          <w:p>
            <w:pPr>
              <w:jc w:val="center"/>
            </w:pPr>
            <w:r>
              <w:rPr>
                <w:rFonts w:ascii="Liberation Sans" w:hAnsi="Liberation Sans"/>
                <w:b/>
                <w:color w:val="FFFFFF"/>
                <w:sz w:val="24"/>
              </w:rPr>
              <w:t>10</w:t>
            </w:r>
          </w:p>
        </w:tc>
        <w:tc>
          <w:tcPr>
            <w:tcW w:type="dxa" w:w="8856"/>
            <w:shd w:fill="F8FAFC"/>
            <w:tcMar>
              <w:top w:w="100" w:type="dxa"/>
              <w:start w:w="130" w:type="dxa"/>
              <w:bottom w:w="100" w:type="dxa"/>
              <w:end w:w="130" w:type="dxa"/>
            </w:tcMar>
          </w:tcPr>
          <w:p>
            <w:pPr>
              <w:spacing w:before="0" w:after="40" w:line="240" w:lineRule="auto"/>
            </w:pPr>
            <w:r>
              <w:rPr>
                <w:rFonts w:ascii="Liberation Sans" w:hAnsi="Liberation Sans"/>
                <w:b/>
                <w:color w:val="132238"/>
                <w:sz w:val="20"/>
              </w:rPr>
              <w:t>Architect for growth, do not pre-build V2</w:t>
            </w:r>
          </w:p>
          <w:p>
            <w:pPr>
              <w:spacing w:before="0" w:after="0" w:line="252" w:lineRule="auto"/>
            </w:pPr>
            <w:r>
              <w:rPr>
                <w:rFonts w:ascii="Liberation Sans" w:hAnsi="Liberation Sans"/>
                <w:color w:val="596579"/>
                <w:sz w:val="18"/>
              </w:rPr>
              <w:t>Use clean boundaries now, but do not delay V1 to make every backend/auth/storage component swappable.</w:t>
            </w:r>
          </w:p>
        </w:tc>
      </w:tr>
    </w:tbl>
    <w:p>
      <w:pPr>
        <w:spacing w:after="20"/>
      </w:pPr>
    </w:p>
    <w:p>
      <w:pPr>
        <w:keepNext/>
        <w:pageBreakBefore/>
        <w:spacing w:before="200" w:after="100" w:line="240" w:lineRule="auto"/>
        <w:pBdr>
          <w:bottom w:val="single" w:sz="14" w:space="3" w:color="0F766E"/>
        </w:pBdr>
      </w:pPr>
      <w:r>
        <w:rPr>
          <w:rFonts w:ascii="Liberation Sans" w:hAnsi="Liberation Sans"/>
          <w:b/>
          <w:color w:val="132238"/>
          <w:sz w:val="38"/>
        </w:rPr>
        <w:t>6. Product pillars</w:t>
      </w:r>
    </w:p>
    <w:tbl>
      <w:tblPr>
        <w:tblW w:type="auto" w:w="0"/>
        <w:jc w:val="center"/>
        <w:tblLayout w:type="fixed"/>
        <w:tblLook w:firstColumn="1" w:firstRow="1" w:lastColumn="0" w:lastRow="0" w:noHBand="0" w:noVBand="1" w:val="04A0"/>
      </w:tblPr>
      <w:tblGrid>
        <w:gridCol w:w="4997"/>
        <w:gridCol w:w="4997"/>
      </w:tblGrid>
      <w:tr>
        <w:tc>
          <w:tcPr>
            <w:tcW w:type="dxa" w:w="208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Pillar</w:t>
            </w:r>
          </w:p>
        </w:tc>
        <w:tc>
          <w:tcPr>
            <w:tcW w:type="dxa" w:w="756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Definition</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Data core</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Multi-provider ingestion, canonical activity/health model, raw-file preservation, normalization, deduplication, provenance and export.</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Training intelligence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Activity analysis, trends, PRs, best efforts, zones, training load, fitness/fatigue/form, efficiency, comparisons and adaptive planning.</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Geo intelligence</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Activity maps, heatmaps, personal segments, route overlap, road coverage, unexplored areas, route discovery and geography-aware performance.</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AI intelligence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Natural-language exploration, grounded explanations, structured analytics tools, planning assistance and eventually goal-aware coaching.</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Customization</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Rearrangeable dashboards, widgets, filters, saved views, custom metrics and eventually a richer query/dashboard builder.</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Health &amp; recovery</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Sleep, resting HR, HRV, weight, VO2max, steps, SpO2 and other daily signals as the product expands.</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Social &amp; network</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Hosted-only network features: profiles, following, feeds, kudos/comments, groups, shared goals, joint heatmaps and challenges.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Developer platform</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User-accessible API, scoped tokens, webhooks, exports and eventually a plugin SDK.</w:t>
            </w:r>
          </w:p>
        </w:tc>
      </w:tr>
    </w:tbl>
    <w:p>
      <w:pPr>
        <w:spacing w:after="40"/>
      </w:pPr>
    </w:p>
    <w:p>
      <w:pPr>
        <w:keepNext/>
        <w:spacing w:before="140" w:after="100" w:line="240" w:lineRule="auto"/>
      </w:pPr>
      <w:r>
        <w:rPr>
          <w:rFonts w:ascii="Liberation Sans" w:hAnsi="Liberation Sans"/>
          <w:b/>
          <w:color w:val="0F766E"/>
          <w:sz w:val="26"/>
        </w:rPr>
        <w:t>A key differentiator: combined queries</w:t>
      </w:r>
    </w:p>
    <w:tbl>
      <w:tblPr>
        <w:tblW w:type="auto" w:w="0"/>
        <w:jc w:val="center"/>
        <w:tblLayout w:type="autofit"/>
        <w:tblLook w:firstColumn="1" w:firstRow="1" w:lastColumn="0" w:lastRow="0" w:noHBand="0" w:noVBand="1" w:val="04A0"/>
      </w:tblPr>
      <w:tblGrid>
        <w:gridCol w:w="9994"/>
      </w:tblGrid>
      <w:tr>
        <w:tc>
          <w:tcPr>
            <w:tcW w:type="dxa" w:w="9994"/>
            <w:shd w:fill="EEF4FF"/>
            <w:tcMar>
              <w:top w:w="120" w:type="dxa"/>
              <w:start w:w="150" w:type="dxa"/>
              <w:bottom w:w="120" w:type="dxa"/>
              <w:end w:w="150" w:type="dxa"/>
            </w:tcMar>
            <w:tcBorders>
              <w:top w:val="nil"/>
              <w:left w:val="single" w:sz="20" w:color="2563EB"/>
              <w:bottom w:val="nil"/>
              <w:right w:val="nil"/>
            </w:tcBorders>
          </w:tcPr>
          <w:p>
            <w:pPr>
              <w:spacing w:before="0" w:after="60" w:line="252" w:lineRule="auto"/>
            </w:pPr>
            <w:r>
              <w:rPr>
                <w:rFonts w:ascii="Liberation Sans" w:hAnsi="Liberation Sans"/>
                <w:b/>
                <w:color w:val="2563EB"/>
                <w:sz w:val="20"/>
              </w:rPr>
              <w:t>EXAMPLE</w:t>
            </w:r>
          </w:p>
          <w:p>
            <w:pPr>
              <w:spacing w:before="0" w:after="0" w:line="259" w:lineRule="auto"/>
            </w:pPr>
            <w:r>
              <w:rPr>
                <w:rFonts w:ascii="Liberation Sans" w:hAnsi="Liberation Sans"/>
                <w:color w:val="132238"/>
                <w:sz w:val="20"/>
              </w:rPr>
              <w:t>“Find 40 km cycling routes near me that prioritize roads I have never ridden, avoid areas where my average heart rate is unusually high, and fit an easy Zone 2 day.” This is valuable because GIS, training state, history and AI operate on one platform.</w:t>
            </w:r>
          </w:p>
        </w:tc>
      </w:tr>
    </w:tbl>
    <w:p>
      <w:pPr>
        <w:spacing w:after="20"/>
      </w:pPr>
    </w:p>
    <w:p>
      <w:pPr>
        <w:keepNext/>
        <w:pageBreakBefore/>
        <w:spacing w:before="200" w:after="100" w:line="240" w:lineRule="auto"/>
        <w:pBdr>
          <w:bottom w:val="single" w:sz="14" w:space="3" w:color="0F766E"/>
        </w:pBdr>
      </w:pPr>
      <w:r>
        <w:rPr>
          <w:rFonts w:ascii="Liberation Sans" w:hAnsi="Liberation Sans"/>
          <w:b/>
          <w:color w:val="132238"/>
          <w:sz w:val="38"/>
        </w:rPr>
        <w:t>7. Scope model: V1, expansion and long-term vision</w:t>
      </w:r>
    </w:p>
    <w:p>
      <w:pPr>
        <w:spacing w:before="0" w:after="100" w:line="259" w:lineRule="auto"/>
      </w:pPr>
      <w:r>
        <w:rPr>
          <w:rFonts w:ascii="Liberation Sans" w:hAnsi="Liberation Sans"/>
          <w:b w:val="0"/>
          <w:i w:val="0"/>
          <w:color w:val="596579"/>
          <w:sz w:val="20"/>
        </w:rPr>
        <w:t>“All features” remains the product vision, but shipping quality requires a phased scope. V1 should feel complete for a runner or cyclist without pretending to finish the entire category.</w:t>
      </w:r>
    </w:p>
    <w:p>
      <w:pPr>
        <w:keepNext/>
        <w:spacing w:before="140" w:after="100" w:line="240" w:lineRule="auto"/>
      </w:pPr>
      <w:r>
        <w:rPr>
          <w:rFonts w:ascii="Liberation Sans" w:hAnsi="Liberation Sans"/>
          <w:b/>
          <w:color w:val="0F766E"/>
          <w:sz w:val="26"/>
        </w:rPr>
        <w:t>V1 - polished hosted product foundation</w:t>
      </w:r>
    </w:p>
    <w:tbl>
      <w:tblPr>
        <w:tblW w:type="auto" w:w="0"/>
        <w:jc w:val="center"/>
        <w:tblLayout w:type="fixed"/>
        <w:tblLook w:firstColumn="1" w:firstRow="1" w:lastColumn="0" w:lastRow="0" w:noHBand="0" w:noVBand="1" w:val="04A0"/>
      </w:tblPr>
      <w:tblGrid>
        <w:gridCol w:w="4997"/>
        <w:gridCol w:w="4997"/>
      </w:tblGrid>
      <w:tr>
        <w:tc>
          <w:tcPr>
            <w:tcW w:type="dxa" w:w="1944"/>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Area</w:t>
            </w:r>
          </w:p>
        </w:tc>
        <w:tc>
          <w:tcPr>
            <w:tcW w:type="dxa" w:w="7704"/>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V1 expectation</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Onboarding &amp; data</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Account creation; provider connection flow; direct FIT/TCX/GPX import; supported historical backfill; canonical activity model; ongoing sync where feasible.</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Activity experience</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Activity history, search/filter, rich activity detail, GPS route, HR/pace/speed/power/cadence/elevation charts and sensor summary.</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Core analytics</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Weekly/monthly/yearly trends, PRs/best efforts, zones, training load, fitness/fatigue/form, basic comparisons and explainable metrics.</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Maps</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Interactive maps and personal heatmap; enough GIS depth to make geography a visible pillar from launch.</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Dashboards</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High-quality default dashboard plus rearrange/add/remove widgets; responsive layouts.</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Goals &amp; gear</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Basic goals and gear usage/maintenance foundations.</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AI</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Grounded assistant that can answer selected questions through deterministic analytics tools; explicit AI privacy consent.</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Platform</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Responsive Next.js app, installable PWA, secure auth, observability, CI/CD, deployment environments and core privacy/export/delete flows.</w:t>
            </w:r>
          </w:p>
        </w:tc>
      </w:tr>
    </w:tbl>
    <w:p>
      <w:pPr>
        <w:spacing w:after="40"/>
      </w:pPr>
    </w:p>
    <w:p>
      <w:pPr>
        <w:keepNext/>
        <w:spacing w:before="140" w:after="100" w:line="240" w:lineRule="auto"/>
      </w:pPr>
      <w:r>
        <w:rPr>
          <w:rFonts w:ascii="Liberation Sans" w:hAnsi="Liberation Sans"/>
          <w:b/>
          <w:color w:val="0F766E"/>
          <w:sz w:val="26"/>
        </w:rPr>
        <w:t>V1.x - differentiation depth</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Personal segments and richer PR/best-effort analysis.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Road/area coverage, unexplored roads and advanced map filtering.</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Custom metrics language and deeper dashboard builder.</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Route builder and AI-assisted route discovery.</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Deeper health/recovery ingestion and training recommendations.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More providers and more robust synchronization paths.</w:t>
      </w:r>
    </w:p>
    <w:p>
      <w:pPr>
        <w:keepNext/>
        <w:spacing w:before="140" w:after="100" w:line="240" w:lineRule="auto"/>
      </w:pPr>
      <w:r>
        <w:rPr>
          <w:rFonts w:ascii="Liberation Sans" w:hAnsi="Liberation Sans"/>
          <w:b/>
          <w:color w:val="0F766E"/>
          <w:sz w:val="26"/>
        </w:rPr>
        <w:t>V2+ - platform/network expansion</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Friends, following, activity feed, comments/kudos, groups, shared goals, social challenges and collaborative maps.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Native mobile application after the PWA proves product workflows.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Portable self-host stack with generic OIDC and additional backend/storage/provider adapters.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Public API/webhooks maturity and plugin SDK.</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Adaptive training plans and more sophisticated coaching.</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Coach/team/organization features only after consumer traction.</w:t>
      </w:r>
    </w:p>
    <w:p>
      <w:pPr>
        <w:keepNext/>
        <w:pageBreakBefore/>
        <w:spacing w:before="200" w:after="100" w:line="240" w:lineRule="auto"/>
        <w:pBdr>
          <w:bottom w:val="single" w:sz="14" w:space="3" w:color="0F766E"/>
        </w:pBdr>
      </w:pPr>
      <w:r>
        <w:rPr>
          <w:rFonts w:ascii="Liberation Sans" w:hAnsi="Liberation Sans"/>
          <w:b/>
          <w:color w:val="132238"/>
          <w:sz w:val="38"/>
        </w:rPr>
        <w:t>8. Data, synchronization and AI strategy</w:t>
      </w:r>
    </w:p>
    <w:p>
      <w:pPr>
        <w:keepNext/>
        <w:spacing w:before="140" w:after="100" w:line="240" w:lineRule="auto"/>
      </w:pPr>
      <w:r>
        <w:rPr>
          <w:rFonts w:ascii="Liberation Sans" w:hAnsi="Liberation Sans"/>
          <w:b/>
          <w:color w:val="0F766E"/>
          <w:sz w:val="26"/>
        </w:rPr>
        <w:t>Canonical data rule</w:t>
      </w:r>
    </w:p>
    <w:tbl>
      <w:tblPr>
        <w:tblW w:type="auto" w:w="0"/>
        <w:jc w:val="center"/>
        <w:tblLayout w:type="autofit"/>
        <w:tblLook w:firstColumn="1" w:firstRow="1" w:lastColumn="0" w:lastRow="0" w:noHBand="0" w:noVBand="1" w:val="04A0"/>
      </w:tblPr>
      <w:tblGrid>
        <w:gridCol w:w="9994"/>
      </w:tblGrid>
      <w:tr>
        <w:tc>
          <w:tcPr>
            <w:tcW w:type="dxa" w:w="9994"/>
            <w:shd w:fill="E8F5F3"/>
            <w:tcMar>
              <w:top w:w="120" w:type="dxa"/>
              <w:start w:w="150" w:type="dxa"/>
              <w:bottom w:w="120" w:type="dxa"/>
              <w:end w:w="150" w:type="dxa"/>
            </w:tcMar>
            <w:tcBorders>
              <w:top w:val="nil"/>
              <w:left w:val="single" w:sz="20" w:color="0F766E"/>
              <w:bottom w:val="nil"/>
              <w:right w:val="nil"/>
            </w:tcBorders>
          </w:tcPr>
          <w:p>
            <w:pPr>
              <w:spacing w:before="0" w:after="60" w:line="252" w:lineRule="auto"/>
            </w:pPr>
            <w:r>
              <w:rPr>
                <w:rFonts w:ascii="Liberation Sans" w:hAnsi="Liberation Sans"/>
                <w:b/>
                <w:color w:val="0F766E"/>
                <w:sz w:val="20"/>
              </w:rPr>
              <w:t>NON-NEGOTIABLE</w:t>
            </w:r>
          </w:p>
          <w:p>
            <w:pPr>
              <w:spacing w:before="0" w:after="0" w:line="259" w:lineRule="auto"/>
            </w:pPr>
            <w:r>
              <w:rPr>
                <w:rFonts w:ascii="Liberation Sans" w:hAnsi="Liberation Sans"/>
                <w:color w:val="132238"/>
                <w:sz w:val="20"/>
              </w:rPr>
              <w:t>Kinetexa stores a durable user-owned representation of imported/original data. Disconnecting a provider must not erase the user’s historical analytics unless the user explicitly deletes that data.</w:t>
            </w:r>
          </w:p>
        </w:tc>
      </w:tr>
    </w:tbl>
    <w:p>
      <w:pPr>
        <w:spacing w:after="20"/>
      </w:pPr>
    </w:p>
    <w:p>
      <w:pPr>
        <w:keepNext/>
        <w:spacing w:before="140" w:after="100" w:line="240" w:lineRule="auto"/>
      </w:pPr>
      <w:r>
        <w:rPr>
          <w:rFonts w:ascii="Liberation Sans" w:hAnsi="Liberation Sans"/>
          <w:b/>
          <w:color w:val="0F766E"/>
          <w:sz w:val="26"/>
        </w:rPr>
        <w:t>Provider-neutral onboarding</w:t>
      </w:r>
    </w:p>
    <w:p>
      <w:pPr>
        <w:spacing w:before="0" w:after="100" w:line="259" w:lineRule="auto"/>
      </w:pPr>
      <w:r>
        <w:rPr>
          <w:rFonts w:ascii="Liberation Sans" w:hAnsi="Liberation Sans"/>
          <w:b w:val="0"/>
          <w:i w:val="0"/>
          <w:color w:val="596579"/>
          <w:sz w:val="20"/>
        </w:rPr>
        <w:t>The product should ask “Where is your fitness data?” rather than presenting Strava as the default path. A user who has never used Strava must still be able to receive the full Kinetexa experience.</w:t>
      </w:r>
    </w:p>
    <w:tbl>
      <w:tblPr>
        <w:tblW w:type="auto" w:w="0"/>
        <w:jc w:val="center"/>
        <w:tblLayout w:type="fixed"/>
        <w:tblLook w:firstColumn="1" w:firstRow="1" w:lastColumn="0" w:lastRow="0" w:noHBand="0" w:noVBand="1" w:val="04A0"/>
      </w:tblPr>
      <w:tblGrid>
        <w:gridCol w:w="4997"/>
        <w:gridCol w:w="4997"/>
      </w:tblGrid>
      <w:tr>
        <w:tc>
          <w:tcPr>
            <w:tcW w:type="dxa" w:w="208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Mechanism</w:t>
            </w:r>
          </w:p>
        </w:tc>
        <w:tc>
          <w:tcPr>
            <w:tcW w:type="dxa" w:w="756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Product behavior</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Connected providers</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Authorize once; historical import; incremental sync; connection health; reauthorization only when technically required.</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Bulk exports</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Import provider export archives for historical migration or where APIs are limited.</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Direct files</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FIT, TCX and GPX as first-class ingestion paths.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Raw preservation</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Keep original files in object storage so parsing and derived metrics can be reproduced later.</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Provenance</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Track where data came from, when it was imported, parser/model versions and transformations.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Deduplication</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Detect the same workout arriving through multiple sources and merge or link it safely.</w:t>
            </w:r>
          </w:p>
        </w:tc>
      </w:tr>
    </w:tbl>
    <w:p>
      <w:pPr>
        <w:spacing w:after="40"/>
      </w:pPr>
    </w:p>
    <w:p>
      <w:pPr>
        <w:keepNext/>
        <w:spacing w:before="140" w:after="100" w:line="240" w:lineRule="auto"/>
      </w:pPr>
      <w:r>
        <w:rPr>
          <w:rFonts w:ascii="Liberation Sans" w:hAnsi="Liberation Sans"/>
          <w:b/>
          <w:color w:val="0F766E"/>
          <w:sz w:val="26"/>
        </w:rPr>
        <w:t>AI architecture principle</w:t>
      </w:r>
    </w:p>
    <w:p>
      <w:pPr>
        <w:spacing w:before="0" w:after="100" w:line="259" w:lineRule="auto"/>
      </w:pPr>
      <w:r>
        <w:rPr>
          <w:rFonts w:ascii="Liberation Sans" w:hAnsi="Liberation Sans"/>
          <w:b w:val="0"/>
          <w:i w:val="0"/>
          <w:color w:val="596579"/>
          <w:sz w:val="20"/>
        </w:rPr>
        <w:t>AI should orchestrate trusted tools rather than become the calculation layer.</w:t>
      </w:r>
    </w:p>
    <w:tbl>
      <w:tblPr>
        <w:tblW w:type="auto" w:w="0"/>
        <w:jc w:val="center"/>
        <w:tblLayout w:type="fixed"/>
        <w:tblLook w:firstColumn="1" w:firstRow="1" w:lastColumn="0" w:lastRow="0" w:noHBand="0" w:noVBand="1" w:val="04A0"/>
      </w:tblPr>
      <w:tblGrid>
        <w:gridCol w:w="4997"/>
        <w:gridCol w:w="4997"/>
      </w:tblGrid>
      <w:tr>
        <w:tc>
          <w:tcPr>
            <w:tcW w:type="dxa" w:w="1872"/>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Stage</w:t>
            </w:r>
          </w:p>
        </w:tc>
        <w:tc>
          <w:tcPr>
            <w:tcW w:type="dxa" w:w="777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Behavior</w:t>
            </w:r>
          </w:p>
        </w:tc>
      </w:tr>
      <w:tr>
        <w:tc>
          <w:tcPr>
            <w:tcW w:type="dxa" w:w="18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1. Intent</w:t>
            </w:r>
          </w:p>
        </w:tc>
        <w:tc>
          <w:tcPr>
            <w:tcW w:type="dxa" w:w="77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User asks a natural-language question or requests a plan.</w:t>
            </w:r>
          </w:p>
        </w:tc>
      </w:tr>
      <w:tr>
        <w:tc>
          <w:tcPr>
            <w:tcW w:type="dxa" w:w="18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2. Tool selection</w:t>
            </w:r>
          </w:p>
        </w:tc>
        <w:tc>
          <w:tcPr>
            <w:tcW w:type="dxa" w:w="77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AI chooses approved analytics, GIS, activity or planning functions.</w:t>
            </w:r>
          </w:p>
        </w:tc>
      </w:tr>
      <w:tr>
        <w:tc>
          <w:tcPr>
            <w:tcW w:type="dxa" w:w="18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3. Deterministic execution</w:t>
            </w:r>
          </w:p>
        </w:tc>
        <w:tc>
          <w:tcPr>
            <w:tcW w:type="dxa" w:w="77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The platform computes results from canonical data.</w:t>
            </w:r>
          </w:p>
        </w:tc>
      </w:tr>
      <w:tr>
        <w:tc>
          <w:tcPr>
            <w:tcW w:type="dxa" w:w="18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4. Structured evidence</w:t>
            </w:r>
          </w:p>
        </w:tc>
        <w:tc>
          <w:tcPr>
            <w:tcW w:type="dxa" w:w="77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The model receives the minimum necessary structured outputs.</w:t>
            </w:r>
          </w:p>
        </w:tc>
      </w:tr>
      <w:tr>
        <w:tc>
          <w:tcPr>
            <w:tcW w:type="dxa" w:w="18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5. Explanation/action</w:t>
            </w:r>
          </w:p>
        </w:tc>
        <w:tc>
          <w:tcPr>
            <w:tcW w:type="dxa" w:w="77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AI explains, compares or recommends with visible evidence and uncertainty where appropriate.</w:t>
            </w:r>
          </w:p>
        </w:tc>
      </w:tr>
    </w:tbl>
    <w:p>
      <w:pPr>
        <w:spacing w:after="40"/>
      </w:pPr>
    </w:p>
    <w:p>
      <w:pPr>
        <w:keepNext/>
        <w:spacing w:before="140" w:after="100" w:line="240" w:lineRule="auto"/>
      </w:pPr>
      <w:r>
        <w:rPr>
          <w:rFonts w:ascii="Liberation Sans" w:hAnsi="Liberation Sans"/>
          <w:b/>
          <w:color w:val="0F766E"/>
          <w:sz w:val="26"/>
        </w:rPr>
        <w:t>AI privacy</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Global user-level consent: “Allow my fitness data to be processed by AI.”</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Send the minimum data needed for a task rather than entire raw histories.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Hosted product selects the best model/provider; self-hosted V2 supports configurable providers and potentially local models.</w:t>
      </w:r>
    </w:p>
    <w:p>
      <w:pPr>
        <w:keepNext/>
        <w:pageBreakBefore/>
        <w:spacing w:before="200" w:after="100" w:line="240" w:lineRule="auto"/>
        <w:pBdr>
          <w:bottom w:val="single" w:sz="14" w:space="3" w:color="0F766E"/>
        </w:pBdr>
      </w:pPr>
      <w:r>
        <w:rPr>
          <w:rFonts w:ascii="Liberation Sans" w:hAnsi="Liberation Sans"/>
          <w:b/>
          <w:color w:val="132238"/>
          <w:sz w:val="38"/>
        </w:rPr>
        <w:t>9. Open Solo vs Hosted Cloud</w:t>
      </w:r>
    </w:p>
    <w:p>
      <w:pPr>
        <w:spacing w:before="0" w:after="100" w:line="259" w:lineRule="auto"/>
      </w:pPr>
      <w:r>
        <w:rPr>
          <w:rFonts w:ascii="Liberation Sans" w:hAnsi="Liberation Sans"/>
          <w:b w:val="0"/>
          <w:i w:val="0"/>
          <w:color w:val="596579"/>
          <w:sz w:val="20"/>
        </w:rPr>
        <w:t>The product should have a principled split: single-user intelligence belongs in the open product; network effects and managed service belong in the hosted product.</w:t>
      </w:r>
    </w:p>
    <w:tbl>
      <w:tblPr>
        <w:tblW w:type="auto" w:w="0"/>
        <w:jc w:val="center"/>
        <w:tblLayout w:type="fixed"/>
        <w:tblLook w:firstColumn="1" w:firstRow="1" w:lastColumn="0" w:lastRow="0" w:noHBand="0" w:noVBand="1" w:val="04A0"/>
      </w:tblPr>
      <w:tblGrid>
        <w:gridCol w:w="3331"/>
        <w:gridCol w:w="3331"/>
        <w:gridCol w:w="3331"/>
      </w:tblGrid>
      <w:tr>
        <w:tc>
          <w:tcPr>
            <w:tcW w:type="dxa" w:w="352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Capability</w:t>
            </w:r>
          </w:p>
        </w:tc>
        <w:tc>
          <w:tcPr>
            <w:tcW w:type="dxa" w:w="309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Open Solo (AGPL)</w:t>
            </w:r>
          </w:p>
        </w:tc>
        <w:tc>
          <w:tcPr>
            <w:tcW w:type="dxa" w:w="309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Hosted Cloud</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Core personal analytics</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Included</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Included</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Maps / heatmaps / GIS</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AI capability</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Included with self-supplied provider/configuration eventually</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Managed AI experience</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Custom dashboards / metrics</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Data import / export</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Included</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Included</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Training planning</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 as capabilities mature</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Managed provider sync</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Self-managed / depends on deployment</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Managed and monitored</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Managed storage / backups</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User responsibility</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Included by service tier</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Automatic upgrades</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User responsibility</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Managed</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Friends / social graph</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Solo only</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Hosted-only</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Feed / kudos / comments</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Not applicable</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Hosted-only</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Groups / shared challenges</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Not applicable</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Hosted-only</w:t>
            </w:r>
          </w:p>
        </w:tc>
      </w:tr>
      <w:tr>
        <w:tc>
          <w:tcPr>
            <w:tcW w:type="dxa" w:w="35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Joint heatmaps / group coverage</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Not applicable</w:t>
            </w:r>
          </w:p>
        </w:tc>
        <w:tc>
          <w:tcPr>
            <w:tcW w:type="dxa" w:w="309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Hosted-only</w:t>
            </w:r>
          </w:p>
        </w:tc>
      </w:tr>
      <w:tr>
        <w:tc>
          <w:tcPr>
            <w:tcW w:type="dxa" w:w="35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Push / network notifications</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Limited/self-managed</w:t>
            </w:r>
          </w:p>
        </w:tc>
        <w:tc>
          <w:tcPr>
            <w:tcW w:type="dxa" w:w="309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Hosted experience</w:t>
            </w:r>
          </w:p>
        </w:tc>
      </w:tr>
    </w:tbl>
    <w:p>
      <w:pPr>
        <w:spacing w:after="40"/>
      </w:pPr>
    </w:p>
    <w:p>
      <w:pPr>
        <w:keepNext/>
        <w:spacing w:before="140" w:after="100" w:line="240" w:lineRule="auto"/>
      </w:pPr>
      <w:r>
        <w:rPr>
          <w:rFonts w:ascii="Liberation Sans" w:hAnsi="Liberation Sans"/>
          <w:b/>
          <w:color w:val="0F766E"/>
          <w:sz w:val="26"/>
        </w:rPr>
        <w:t>Business model principle</w:t>
      </w:r>
    </w:p>
    <w:tbl>
      <w:tblPr>
        <w:tblW w:type="auto" w:w="0"/>
        <w:jc w:val="center"/>
        <w:tblLayout w:type="autofit"/>
        <w:tblLook w:firstColumn="1" w:firstRow="1" w:lastColumn="0" w:lastRow="0" w:noHBand="0" w:noVBand="1" w:val="04A0"/>
      </w:tblPr>
      <w:tblGrid>
        <w:gridCol w:w="9994"/>
      </w:tblGrid>
      <w:tr>
        <w:tc>
          <w:tcPr>
            <w:tcW w:type="dxa" w:w="9994"/>
            <w:shd w:fill="EEF4FF"/>
            <w:tcMar>
              <w:top w:w="120" w:type="dxa"/>
              <w:start w:w="150" w:type="dxa"/>
              <w:bottom w:w="120" w:type="dxa"/>
              <w:end w:w="150" w:type="dxa"/>
            </w:tcMar>
            <w:tcBorders>
              <w:top w:val="nil"/>
              <w:left w:val="single" w:sz="20" w:color="2563EB"/>
              <w:bottom w:val="nil"/>
              <w:right w:val="nil"/>
            </w:tcBorders>
          </w:tcPr>
          <w:p>
            <w:pPr>
              <w:spacing w:before="0" w:after="60" w:line="252" w:lineRule="auto"/>
            </w:pPr>
            <w:r>
              <w:rPr>
                <w:rFonts w:ascii="Liberation Sans" w:hAnsi="Liberation Sans"/>
                <w:b/>
                <w:color w:val="2563EB"/>
                <w:sz w:val="20"/>
              </w:rPr>
              <w:t>WORKING COMMERCIAL THESIS</w:t>
            </w:r>
          </w:p>
          <w:p>
            <w:pPr>
              <w:spacing w:before="0" w:after="0" w:line="259" w:lineRule="auto"/>
            </w:pPr>
            <w:r>
              <w:rPr>
                <w:rFonts w:ascii="Liberation Sans" w:hAnsi="Liberation Sans"/>
                <w:color w:val="132238"/>
                <w:sz w:val="20"/>
              </w:rPr>
              <w:t>The software is free. Convenience, managed infrastructure, reliable synchronization and the shared network are what users pay for.</w:t>
            </w:r>
          </w:p>
        </w:tc>
      </w:tr>
    </w:tbl>
    <w:p>
      <w:pPr>
        <w:spacing w:after="20"/>
      </w:pPr>
    </w:p>
    <w:p>
      <w:pPr>
        <w:keepNext/>
        <w:spacing w:before="140" w:after="100" w:line="240" w:lineRule="auto"/>
      </w:pPr>
      <w:r>
        <w:rPr>
          <w:rFonts w:ascii="Liberation Sans" w:hAnsi="Liberation Sans"/>
          <w:b/>
          <w:color w:val="0F766E"/>
          <w:sz w:val="26"/>
        </w:rPr>
        <w:t>Pricing direction</w:t>
      </w:r>
    </w:p>
    <w:p>
      <w:pPr>
        <w:spacing w:before="0" w:after="100" w:line="259" w:lineRule="auto"/>
      </w:pPr>
      <w:r>
        <w:rPr>
          <w:rFonts w:ascii="Liberation Sans" w:hAnsi="Liberation Sans"/>
          <w:b w:val="0"/>
          <w:i w:val="0"/>
          <w:color w:val="596579"/>
          <w:sz w:val="20"/>
        </w:rPr>
        <w:t>Exact pricing is intentionally deferred. The hosted offering may charge more than a minimal “supporter” fee if it provides meaningful service value: managed synchronization, storage, backups, AI compute, notifications, social features and a polished zero-maintenance experience.</w:t>
      </w:r>
    </w:p>
    <w:p>
      <w:pPr>
        <w:keepNext/>
        <w:pageBreakBefore/>
        <w:spacing w:before="200" w:after="100" w:line="240" w:lineRule="auto"/>
        <w:pBdr>
          <w:bottom w:val="single" w:sz="14" w:space="3" w:color="0F766E"/>
        </w:pBdr>
      </w:pPr>
      <w:r>
        <w:rPr>
          <w:rFonts w:ascii="Liberation Sans" w:hAnsi="Liberation Sans"/>
          <w:b/>
          <w:color w:val="132238"/>
          <w:sz w:val="38"/>
        </w:rPr>
        <w:t>10. Experience, mobile and privacy model</w:t>
      </w:r>
    </w:p>
    <w:p>
      <w:pPr>
        <w:keepNext/>
        <w:spacing w:before="140" w:after="100" w:line="240" w:lineRule="auto"/>
      </w:pPr>
      <w:r>
        <w:rPr>
          <w:rFonts w:ascii="Liberation Sans" w:hAnsi="Liberation Sans"/>
          <w:b/>
          <w:color w:val="0F766E"/>
          <w:sz w:val="26"/>
        </w:rPr>
        <w:t>Experience direction</w:t>
      </w:r>
    </w:p>
    <w:p>
      <w:pPr>
        <w:spacing w:before="0" w:after="100" w:line="259" w:lineRule="auto"/>
      </w:pPr>
      <w:r>
        <w:rPr>
          <w:rFonts w:ascii="Liberation Sans" w:hAnsi="Liberation Sans"/>
          <w:b w:val="0"/>
          <w:i w:val="0"/>
          <w:color w:val="596579"/>
          <w:sz w:val="20"/>
        </w:rPr>
        <w:t>Kinetexa should look and feel like a premium sports product, not a developer console. Technical depth is available through progressive disclosure: “Explain,” “View formula,” “Show source data,” “Compare models,” “Open advanced filters.”</w:t>
      </w:r>
    </w:p>
    <w:p>
      <w:pPr>
        <w:keepNext/>
        <w:spacing w:before="140" w:after="100" w:line="240" w:lineRule="auto"/>
      </w:pPr>
      <w:r>
        <w:rPr>
          <w:rFonts w:ascii="Liberation Sans" w:hAnsi="Liberation Sans"/>
          <w:b/>
          <w:color w:val="0F766E"/>
          <w:sz w:val="26"/>
        </w:rPr>
        <w:t>Mobile strategy</w:t>
      </w:r>
    </w:p>
    <w:tbl>
      <w:tblPr>
        <w:tblW w:type="auto" w:w="0"/>
        <w:jc w:val="center"/>
        <w:tblLayout w:type="fixed"/>
        <w:tblLook w:firstColumn="1" w:firstRow="1" w:lastColumn="0" w:lastRow="0" w:noHBand="0" w:noVBand="1" w:val="04A0"/>
      </w:tblPr>
      <w:tblGrid>
        <w:gridCol w:w="4997"/>
        <w:gridCol w:w="4997"/>
      </w:tblGrid>
      <w:tr>
        <w:tc>
          <w:tcPr>
            <w:tcW w:type="dxa" w:w="172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Phase</w:t>
            </w:r>
          </w:p>
        </w:tc>
        <w:tc>
          <w:tcPr>
            <w:tcW w:type="dxa" w:w="792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Direction</w:t>
            </w:r>
          </w:p>
        </w:tc>
      </w:tr>
      <w:tr>
        <w:tc>
          <w:tcPr>
            <w:tcW w:type="dxa" w:w="172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V1</w:t>
            </w:r>
          </w:p>
        </w:tc>
        <w:tc>
          <w:tcPr>
            <w:tcW w:type="dxa" w:w="792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Responsive Next.js experience designed mobile-first; installable PWA; touch-friendly maps/charts; mobile navigation; direct file upload where practical.</w:t>
            </w:r>
          </w:p>
        </w:tc>
      </w:tr>
      <w:tr>
        <w:tc>
          <w:tcPr>
            <w:tcW w:type="dxa" w:w="172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Later</w:t>
            </w:r>
          </w:p>
        </w:tc>
        <w:tc>
          <w:tcPr>
            <w:tcW w:type="dxa" w:w="792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Native app, likely with a TypeScript-friendly stack, once the hosted product and mobile workflows are proven.</w:t>
            </w:r>
          </w:p>
        </w:tc>
      </w:tr>
    </w:tbl>
    <w:p>
      <w:pPr>
        <w:spacing w:after="40"/>
      </w:pPr>
    </w:p>
    <w:p>
      <w:pPr>
        <w:keepNext/>
        <w:spacing w:before="140" w:after="100" w:line="240" w:lineRule="auto"/>
      </w:pPr>
      <w:r>
        <w:rPr>
          <w:rFonts w:ascii="Liberation Sans" w:hAnsi="Liberation Sans"/>
          <w:b/>
          <w:color w:val="0F766E"/>
          <w:sz w:val="26"/>
        </w:rPr>
        <w:t>Privacy defaults</w:t>
      </w:r>
    </w:p>
    <w:tbl>
      <w:tblPr>
        <w:tblW w:type="auto" w:w="0"/>
        <w:jc w:val="center"/>
        <w:tblLayout w:type="fixed"/>
        <w:tblLook w:firstColumn="1" w:firstRow="1" w:lastColumn="0" w:lastRow="0" w:noHBand="0" w:noVBand="1" w:val="04A0"/>
      </w:tblPr>
      <w:tblGrid>
        <w:gridCol w:w="4997"/>
        <w:gridCol w:w="4997"/>
      </w:tblGrid>
      <w:tr>
        <w:tc>
          <w:tcPr>
            <w:tcW w:type="dxa" w:w="237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Area</w:t>
            </w:r>
          </w:p>
        </w:tc>
        <w:tc>
          <w:tcPr>
            <w:tcW w:type="dxa" w:w="7272"/>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7"/>
              </w:rPr>
              <w:t>Default</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Account/profile</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Private by default.</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Activities</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Private by default.</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Routes</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Raw geometry treated as sensitive.</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Sharing</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Explicit opt-in per surface or policy.</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Location safety</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Support privacy zones / share-safe route geometry as the product matures.</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AI</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Explicit global consent; minimize data sent to model providers.</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Product analytics</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Clear consent strategy; self-hosted mode should not require PostHog telemetry.</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Deletion</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7"/>
              </w:rPr>
              <w:t>Complete account and data deletion path.</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Export</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7"/>
              </w:rPr>
              <w:t>Complete export path for canonical user data.</w:t>
            </w:r>
          </w:p>
        </w:tc>
      </w:tr>
    </w:tbl>
    <w:p>
      <w:pPr>
        <w:spacing w:after="40"/>
      </w:pPr>
    </w:p>
    <w:p>
      <w:pPr>
        <w:keepNext/>
        <w:spacing w:before="140" w:after="100" w:line="240" w:lineRule="auto"/>
      </w:pPr>
      <w:r>
        <w:rPr>
          <w:rFonts w:ascii="Liberation Sans" w:hAnsi="Liberation Sans"/>
          <w:b/>
          <w:color w:val="0F766E"/>
          <w:sz w:val="26"/>
        </w:rPr>
        <w:t>Social design principle</w:t>
      </w:r>
    </w:p>
    <w:p>
      <w:pPr>
        <w:spacing w:before="0" w:after="100" w:line="259" w:lineRule="auto"/>
      </w:pPr>
      <w:r>
        <w:rPr>
          <w:rFonts w:ascii="Liberation Sans" w:hAnsi="Liberation Sans"/>
          <w:b w:val="0"/>
          <w:i w:val="0"/>
          <w:color w:val="596579"/>
          <w:sz w:val="20"/>
        </w:rPr>
        <w:t>Use familiar mechanics where they reduce learning cost, but differentiate with analytics-native collaboration rather than cloning Strava’s social surfaces pixel-for-pixel.</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Shared goals and group challenges.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Joint heatmaps and group road coverage.</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Friendly competitions around exploration, consistency or training goals.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Consent-based performance comparisons and group route discovery.</w:t>
      </w:r>
    </w:p>
    <w:p>
      <w:pPr>
        <w:keepNext/>
        <w:pageBreakBefore/>
        <w:spacing w:before="200" w:after="100" w:line="240" w:lineRule="auto"/>
        <w:pBdr>
          <w:bottom w:val="single" w:sz="14" w:space="3" w:color="0F766E"/>
        </w:pBdr>
      </w:pPr>
      <w:r>
        <w:rPr>
          <w:rFonts w:ascii="Liberation Sans" w:hAnsi="Liberation Sans"/>
          <w:b/>
          <w:color w:val="132238"/>
          <w:sz w:val="38"/>
        </w:rPr>
        <w:t>11. Technical strategy and portfolio intent</w:t>
      </w:r>
    </w:p>
    <w:p>
      <w:pPr>
        <w:keepNext/>
        <w:spacing w:before="140" w:after="100" w:line="240" w:lineRule="auto"/>
      </w:pPr>
      <w:r>
        <w:rPr>
          <w:rFonts w:ascii="Liberation Sans" w:hAnsi="Liberation Sans"/>
          <w:b/>
          <w:color w:val="0F766E"/>
          <w:sz w:val="26"/>
        </w:rPr>
        <w:t>Hosted-first V1 stack</w:t>
      </w:r>
    </w:p>
    <w:tbl>
      <w:tblPr>
        <w:tblW w:type="auto" w:w="0"/>
        <w:jc w:val="center"/>
        <w:tblLayout w:type="fixed"/>
        <w:tblLook w:firstColumn="1" w:firstRow="1" w:lastColumn="0" w:lastRow="0" w:noHBand="0" w:noVBand="1" w:val="04A0"/>
      </w:tblPr>
      <w:tblGrid>
        <w:gridCol w:w="4997"/>
        <w:gridCol w:w="4997"/>
      </w:tblGrid>
      <w:tr>
        <w:tc>
          <w:tcPr>
            <w:tcW w:type="dxa" w:w="2376"/>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Layer</w:t>
            </w:r>
          </w:p>
        </w:tc>
        <w:tc>
          <w:tcPr>
            <w:tcW w:type="dxa" w:w="7272"/>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6"/>
              </w:rPr>
              <w:t>Direction</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Frontend</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Next.js + TypeScript + shadcn/ui + Tailwind.</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Application backend</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Convex for core hosted application data and real-time behavior.</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Authentication</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WorkOS.</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Hosting</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Vercel for the primary hosted web application.</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Product analytics</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PostHog.</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Transactional email</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Resend.</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Payments</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Stripe when monetization begins.</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Raw activity storage</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S3-compatible object storage; exact vendor decided during technical design.</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Processing</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Dedicated worker/service where parsing, GIS, stream analytics or AI workloads do not belong in the application backend.</w:t>
            </w:r>
          </w:p>
        </w:tc>
      </w:tr>
      <w:tr>
        <w:tc>
          <w:tcPr>
            <w:tcW w:type="dxa" w:w="2376"/>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Maps</w:t>
            </w:r>
          </w:p>
        </w:tc>
        <w:tc>
          <w:tcPr>
            <w:tcW w:type="dxa" w:w="7272"/>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6"/>
              </w:rPr>
              <w:t>MapLibre ecosystem direction; exact tile/data providers determined later.</w:t>
            </w:r>
          </w:p>
        </w:tc>
      </w:tr>
      <w:tr>
        <w:tc>
          <w:tcPr>
            <w:tcW w:type="dxa" w:w="2376"/>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CI/CD</w:t>
            </w:r>
          </w:p>
        </w:tc>
        <w:tc>
          <w:tcPr>
            <w:tcW w:type="dxa" w:w="7272"/>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6"/>
              </w:rPr>
              <w:t>GitHub + GitHub Actions.</w:t>
            </w:r>
          </w:p>
        </w:tc>
      </w:tr>
    </w:tbl>
    <w:p>
      <w:pPr>
        <w:spacing w:after="40"/>
      </w:pPr>
    </w:p>
    <w:p>
      <w:pPr>
        <w:keepNext/>
        <w:spacing w:before="140" w:after="100" w:line="240" w:lineRule="auto"/>
      </w:pPr>
      <w:r>
        <w:rPr>
          <w:rFonts w:ascii="Liberation Sans" w:hAnsi="Liberation Sans"/>
          <w:b/>
          <w:color w:val="0F766E"/>
          <w:sz w:val="26"/>
        </w:rPr>
        <w:t>Why Vercel does not weaken the portfolio</w:t>
      </w:r>
    </w:p>
    <w:p>
      <w:pPr>
        <w:spacing w:before="0" w:after="60" w:line="259" w:lineRule="auto"/>
      </w:pPr>
      <w:r>
        <w:rPr>
          <w:rFonts w:ascii="Liberation Sans" w:hAnsi="Liberation Sans"/>
          <w:b w:val="0"/>
          <w:i w:val="0"/>
          <w:color w:val="596579"/>
          <w:sz w:val="20"/>
        </w:rPr>
        <w:t>Managed infrastructure is a valid architecture choice; portfolio value comes from showing sound boundaries, specialized workloads, security controls and operations where they are actually needed.</w:t>
      </w:r>
    </w:p>
    <w:p>
      <w:pPr>
        <w:keepNext/>
        <w:spacing w:before="140" w:after="100" w:line="240" w:lineRule="auto"/>
      </w:pPr>
      <w:r>
        <w:rPr>
          <w:rFonts w:ascii="Liberation Sans" w:hAnsi="Liberation Sans"/>
          <w:b/>
          <w:color w:val="0F766E"/>
          <w:sz w:val="26"/>
        </w:rPr>
        <w:t>Deliberate portfolio surface for DevOps / cloud / security</w:t>
      </w:r>
    </w:p>
    <w:tbl>
      <w:tblPr>
        <w:tblW w:type="auto" w:w="0"/>
        <w:jc w:val="center"/>
        <w:tblLayout w:type="fixed"/>
        <w:tblLook w:firstColumn="1" w:firstRow="1" w:lastColumn="0" w:lastRow="0" w:noHBand="0" w:noVBand="1" w:val="04A0"/>
      </w:tblPr>
      <w:tblGrid>
        <w:gridCol w:w="4997"/>
        <w:gridCol w:w="4997"/>
      </w:tblGrid>
      <w:tr>
        <w:tc>
          <w:tcPr>
            <w:tcW w:type="dxa" w:w="1944"/>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5"/>
              </w:rPr>
              <w:t>Discipline</w:t>
            </w:r>
          </w:p>
        </w:tc>
        <w:tc>
          <w:tcPr>
            <w:tcW w:type="dxa" w:w="7704"/>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5"/>
              </w:rPr>
              <w:t>Evidence in the repository/product</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Delivery</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CI/CD, preview/staging/production environments, safe migrations, release automation.</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Cloud</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Object storage, worker runtime, queues/events where justified, backups, restore tests, IaC as architecture expands.</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Observability</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OpenTelemetry, structured logs, metrics, traces, alerting and operational dashboards.</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Security</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Threat model, least privilege, scoped tokens, secure secrets, rate limits, audit events, dependency/SAST/container scanning, SBOM.</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Reliability</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Idempotent ingestion, retries, deduplication, dead-letter handling, provider outage tolerance, recovery runbooks.</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Data engineering</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Canonical models, raw provenance, parser versioning, reproducible derived metrics and historical recomputation.</w:t>
            </w:r>
          </w:p>
        </w:tc>
      </w:tr>
    </w:tbl>
    <w:p>
      <w:pPr>
        <w:spacing w:after="40"/>
      </w:pPr>
    </w:p>
    <w:p>
      <w:pPr>
        <w:keepNext/>
        <w:spacing w:before="140" w:after="100" w:line="240" w:lineRule="auto"/>
      </w:pPr>
      <w:r>
        <w:rPr>
          <w:rFonts w:ascii="Liberation Sans" w:hAnsi="Liberation Sans"/>
          <w:b/>
          <w:color w:val="0F766E"/>
          <w:sz w:val="26"/>
        </w:rPr>
        <w:t>V2 portability principle</w:t>
      </w:r>
    </w:p>
    <w:p>
      <w:pPr>
        <w:spacing w:before="0" w:after="40" w:line="259" w:lineRule="auto"/>
      </w:pPr>
      <w:r>
        <w:rPr>
          <w:rFonts w:ascii="Liberation Sans" w:hAnsi="Liberation Sans"/>
          <w:b w:val="0"/>
          <w:i w:val="0"/>
          <w:color w:val="596579"/>
          <w:sz w:val="20"/>
        </w:rPr>
        <w:t>Add auth, storage, analytics, email and persistence adapters when real self-host demand justifies them; V1 keeps clean module boundaries without making full portability a launch blocker.</w:t>
      </w:r>
    </w:p>
    <w:p>
      <w:pPr>
        <w:keepNext/>
        <w:pageBreakBefore/>
        <w:spacing w:before="200" w:after="100" w:line="240" w:lineRule="auto"/>
        <w:pBdr>
          <w:bottom w:val="single" w:sz="14" w:space="3" w:color="0F766E"/>
        </w:pBdr>
      </w:pPr>
      <w:r>
        <w:rPr>
          <w:rFonts w:ascii="Liberation Sans" w:hAnsi="Liberation Sans"/>
          <w:b/>
          <w:color w:val="132238"/>
          <w:sz w:val="38"/>
        </w:rPr>
        <w:t>12. Non-goals, constraints and success criteria</w:t>
      </w:r>
    </w:p>
    <w:p>
      <w:pPr>
        <w:keepNext/>
        <w:spacing w:before="140" w:after="100" w:line="240" w:lineRule="auto"/>
      </w:pPr>
      <w:r>
        <w:rPr>
          <w:rFonts w:ascii="Liberation Sans" w:hAnsi="Liberation Sans"/>
          <w:b/>
          <w:color w:val="0F766E"/>
          <w:sz w:val="26"/>
        </w:rPr>
        <w:t>Explicit non-goals for the initial product</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Rebuilding Strava’s entire social network before proving the intelligence product.</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Supporting every fitness provider before the ingestion model is stable.</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Shipping native iOS/Android apps before the responsive/PWA workflows are validated.</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Building coach/team/B2B workflows before consumer traction.</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Making every infrastructure component provider-agnostic in V1.</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Using AI as a substitute for deterministic sports-science calculations.</w:t>
      </w:r>
    </w:p>
    <w:p>
      <w:pPr>
        <w:spacing w:after="50" w:line="252" w:lineRule="auto"/>
        <w:ind w:left="317" w:hanging="202"/>
      </w:pPr>
      <w:r>
        <w:rPr>
          <w:rFonts w:ascii="Liberation Sans" w:hAnsi="Liberation Sans"/>
          <w:b/>
          <w:color w:val="0F766E"/>
          <w:sz w:val="20"/>
        </w:rPr>
        <w:t xml:space="preserve">• </w:t>
      </w:r>
      <w:r>
        <w:rPr>
          <w:rFonts w:ascii="Liberation Sans" w:hAnsi="Liberation Sans"/>
          <w:color w:val="132238"/>
          <w:sz w:val="20"/>
        </w:rPr>
        <w:t>Turning V1 into a generic plugin platform before the internal abstractions are proven.</w:t>
      </w:r>
    </w:p>
    <w:p>
      <w:pPr>
        <w:keepNext/>
        <w:spacing w:before="140" w:after="100" w:line="240" w:lineRule="auto"/>
      </w:pPr>
      <w:r>
        <w:rPr>
          <w:rFonts w:ascii="Liberation Sans" w:hAnsi="Liberation Sans"/>
          <w:b/>
          <w:color w:val="0F766E"/>
          <w:sz w:val="26"/>
        </w:rPr>
        <w:t>Primary risks and constraints</w:t>
      </w:r>
    </w:p>
    <w:tbl>
      <w:tblPr>
        <w:tblW w:type="auto" w:w="0"/>
        <w:jc w:val="center"/>
        <w:tblLayout w:type="fixed"/>
        <w:tblLook w:firstColumn="1" w:firstRow="1" w:lastColumn="0" w:lastRow="0" w:noHBand="0" w:noVBand="1" w:val="04A0"/>
      </w:tblPr>
      <w:tblGrid>
        <w:gridCol w:w="4997"/>
        <w:gridCol w:w="4997"/>
      </w:tblGrid>
      <w:tr>
        <w:tc>
          <w:tcPr>
            <w:tcW w:type="dxa" w:w="208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5"/>
              </w:rPr>
              <w:t>Risk</w:t>
            </w:r>
          </w:p>
        </w:tc>
        <w:tc>
          <w:tcPr>
            <w:tcW w:type="dxa" w:w="756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5"/>
              </w:rPr>
              <w:t>Strategic response</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Provider access</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APIs, export formats, quotas and platform terms differ. Integration design must be legally and technically provider-specific.</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Data volume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High-frequency sensor streams and route geometry can become expensive if modeled or queried naively.</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Health sensitivity</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Health/recovery information raises the privacy and security bar significantly.</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Analytics trust</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Training recommendations can lose credibility quickly if formulas are opaque or inputs are poor.</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Scope explosion</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Maps, training science, AI, social, health and self-hosting can each become standalone products.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OSS/cloud boundary</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AGPL core and hosted-only network services require a clean architectural and licensing boundary.</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Cost control</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AI, map tiles, object storage and background processing can create unbounded hosted costs without quotas and observability.</w:t>
            </w:r>
          </w:p>
        </w:tc>
      </w:tr>
    </w:tbl>
    <w:p>
      <w:pPr>
        <w:spacing w:after="40"/>
      </w:pPr>
    </w:p>
    <w:p>
      <w:pPr>
        <w:keepNext/>
        <w:spacing w:before="140" w:after="100" w:line="240" w:lineRule="auto"/>
      </w:pPr>
      <w:r>
        <w:rPr>
          <w:rFonts w:ascii="Liberation Sans" w:hAnsi="Liberation Sans"/>
          <w:b/>
          <w:color w:val="0F766E"/>
          <w:sz w:val="26"/>
        </w:rPr>
        <w:t>What success looks like before scale</w:t>
      </w:r>
    </w:p>
    <w:p>
      <w:pPr>
        <w:spacing w:before="0" w:after="60" w:line="259" w:lineRule="auto"/>
      </w:pPr>
      <w:r>
        <w:rPr>
          <w:rFonts w:ascii="Liberation Sans" w:hAnsi="Liberation Sans"/>
          <w:b w:val="0"/>
          <w:i w:val="0"/>
          <w:color w:val="596579"/>
          <w:sz w:val="20"/>
        </w:rPr>
        <w:t>Before scale, success means users genuinely prefer Kinetexa for personal fitness intelligence and the repository demonstrates production-grade engineering.</w:t>
      </w:r>
    </w:p>
    <w:tbl>
      <w:tblPr>
        <w:tblW w:type="auto" w:w="0"/>
        <w:jc w:val="center"/>
        <w:tblLayout w:type="fixed"/>
        <w:tblLook w:firstColumn="1" w:firstRow="1" w:lastColumn="0" w:lastRow="0" w:noHBand="0" w:noVBand="1" w:val="04A0"/>
      </w:tblPr>
      <w:tblGrid>
        <w:gridCol w:w="4997"/>
        <w:gridCol w:w="4997"/>
      </w:tblGrid>
      <w:tr>
        <w:tc>
          <w:tcPr>
            <w:tcW w:type="dxa" w:w="208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4"/>
              </w:rPr>
              <w:t>Dimension</w:t>
            </w:r>
          </w:p>
        </w:tc>
        <w:tc>
          <w:tcPr>
            <w:tcW w:type="dxa" w:w="756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4"/>
              </w:rPr>
              <w:t>Success condition</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User value</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A runner or cyclist can connect/import data, understand their history, inspect workouts and return regularly for insights.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4"/>
              </w:rPr>
              <w:t>Trust</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4"/>
              </w:rPr>
              <w:t>Users can explain where important metrics came from and export/delete their data confidently.</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Automation</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Connected providers require minimal recurring user intervention.</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4"/>
              </w:rPr>
              <w:t>Differentiation</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4"/>
              </w:rPr>
              <w:t>At least one map+training workflow and one grounded AI workflow are memorable enough that Kinetexa is not perceived as another dashboard.</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Quality</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Mobile experience, loading states, failures, imports and charts feel like a consumer product rather than a portfolio demo.</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4"/>
              </w:rPr>
              <w:t>Engineering</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4"/>
              </w:rPr>
              <w:t>Repository contains strong CI/CD, observability, security posture and operational documentation suitable for technical interviews.</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OSS signal</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4"/>
              </w:rPr>
              <w:t>Open Solo can be installed and used meaningfully by one technical user.</w:t>
            </w:r>
          </w:p>
        </w:tc>
      </w:tr>
    </w:tbl>
    <w:p>
      <w:pPr>
        <w:spacing w:after="40"/>
      </w:pPr>
    </w:p>
    <w:p>
      <w:pPr>
        <w:keepNext/>
        <w:pageBreakBefore/>
        <w:spacing w:before="200" w:after="100" w:line="240" w:lineRule="auto"/>
        <w:pBdr>
          <w:bottom w:val="single" w:sz="14" w:space="3" w:color="0F766E"/>
        </w:pBdr>
      </w:pPr>
      <w:r>
        <w:rPr>
          <w:rFonts w:ascii="Liberation Sans" w:hAnsi="Liberation Sans"/>
          <w:b/>
          <w:color w:val="132238"/>
          <w:sz w:val="38"/>
        </w:rPr>
        <w:t>13. Decision register and questions intentionally deferred to the PRD</w:t>
      </w:r>
    </w:p>
    <w:p>
      <w:pPr>
        <w:spacing w:before="0" w:after="60" w:line="259" w:lineRule="auto"/>
      </w:pPr>
      <w:r>
        <w:rPr>
          <w:rFonts w:ascii="Liberation Sans" w:hAnsi="Liberation Sans"/>
          <w:b w:val="0"/>
          <w:i w:val="0"/>
          <w:color w:val="596579"/>
          <w:sz w:val="20"/>
        </w:rPr>
        <w:t>No additional strategic questions block the PRD; remaining choices should be resolved through product and technical requirements.</w:t>
      </w:r>
    </w:p>
    <w:p>
      <w:pPr>
        <w:keepNext/>
        <w:spacing w:before="140" w:after="100" w:line="240" w:lineRule="auto"/>
      </w:pPr>
      <w:r>
        <w:rPr>
          <w:rFonts w:ascii="Liberation Sans" w:hAnsi="Liberation Sans"/>
          <w:b/>
          <w:color w:val="0F766E"/>
          <w:sz w:val="26"/>
        </w:rPr>
        <w:t>Locked for PRD</w:t>
      </w:r>
    </w:p>
    <w:tbl>
      <w:tblPr>
        <w:tblW w:type="auto" w:w="0"/>
        <w:jc w:val="center"/>
        <w:tblLayout w:type="fixed"/>
        <w:tblLook w:firstColumn="1" w:firstRow="1" w:lastColumn="0" w:lastRow="0" w:noHBand="0" w:noVBand="1" w:val="04A0"/>
      </w:tblPr>
      <w:tblGrid>
        <w:gridCol w:w="4997"/>
        <w:gridCol w:w="4997"/>
      </w:tblGrid>
      <w:tr>
        <w:tc>
          <w:tcPr>
            <w:tcW w:type="dxa" w:w="1944"/>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5"/>
              </w:rPr>
              <w:t>Topic</w:t>
            </w:r>
          </w:p>
        </w:tc>
        <w:tc>
          <w:tcPr>
            <w:tcW w:type="dxa" w:w="7704"/>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5"/>
              </w:rPr>
              <w:t>Decision</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Name</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Use Kinetexa as the working product/company name.</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Target</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Runners + cyclists first; endurance multi-sport architecture.</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Product shape</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Training science + GIS + AI + customization, with data ownership as the foundation.</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Hosted V1</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Hosted-first on the agreed Next.js/Convex/WorkOS/Vercel stack.</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Open source</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Open Solo direction under AGPL-3.0; self-host portability deepens in V2.</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Business</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Managed hosting and social/network value drive monetization.</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Mobile</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Responsive web + PWA first; native later.</w:t>
            </w:r>
          </w:p>
        </w:tc>
      </w:tr>
      <w:tr>
        <w:tc>
          <w:tcPr>
            <w:tcW w:type="dxa" w:w="194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Privacy</w:t>
            </w:r>
          </w:p>
        </w:tc>
        <w:tc>
          <w:tcPr>
            <w:tcW w:type="dxa" w:w="7704"/>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5"/>
              </w:rPr>
              <w:t>Private by default; explicit AI consent; export/delete are core.</w:t>
            </w:r>
          </w:p>
        </w:tc>
      </w:tr>
      <w:tr>
        <w:tc>
          <w:tcPr>
            <w:tcW w:type="dxa" w:w="194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Portfolio</w:t>
            </w:r>
          </w:p>
        </w:tc>
        <w:tc>
          <w:tcPr>
            <w:tcW w:type="dxa" w:w="7704"/>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5"/>
              </w:rPr>
              <w:t>DevOps, cloud and security excellence is a deliberate product requirement.</w:t>
            </w:r>
          </w:p>
        </w:tc>
      </w:tr>
    </w:tbl>
    <w:p>
      <w:pPr>
        <w:spacing w:after="40"/>
      </w:pPr>
    </w:p>
    <w:p>
      <w:pPr>
        <w:keepNext/>
        <w:spacing w:before="140" w:after="100" w:line="240" w:lineRule="auto"/>
      </w:pPr>
      <w:r>
        <w:rPr>
          <w:rFonts w:ascii="Liberation Sans" w:hAnsi="Liberation Sans"/>
          <w:b/>
          <w:color w:val="0F766E"/>
          <w:sz w:val="26"/>
        </w:rPr>
        <w:t>PRD must resolve</w:t>
      </w:r>
    </w:p>
    <w:tbl>
      <w:tblPr>
        <w:tblW w:type="auto" w:w="0"/>
        <w:jc w:val="center"/>
        <w:tblLayout w:type="fixed"/>
        <w:tblLook w:firstColumn="1" w:firstRow="1" w:lastColumn="0" w:lastRow="0" w:noHBand="0" w:noVBand="1" w:val="04A0"/>
      </w:tblPr>
      <w:tblGrid>
        <w:gridCol w:w="4997"/>
        <w:gridCol w:w="4997"/>
      </w:tblGrid>
      <w:tr>
        <w:tc>
          <w:tcPr>
            <w:tcW w:type="dxa" w:w="2088"/>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3"/>
              </w:rPr>
              <w:t>PRD topic</w:t>
            </w:r>
          </w:p>
        </w:tc>
        <w:tc>
          <w:tcPr>
            <w:tcW w:type="dxa" w:w="7560"/>
            <w:shd w:fill="132238"/>
            <w:tcMar>
              <w:top w:w="90" w:type="dxa"/>
              <w:start w:w="90" w:type="dxa"/>
              <w:bottom w:w="90" w:type="dxa"/>
              <w:end w:w="90" w:type="dxa"/>
            </w:tcMar>
            <w:vAlign w:val="center"/>
          </w:tcPr>
          <w:p>
            <w:pPr>
              <w:spacing w:before="0" w:after="0" w:line="240" w:lineRule="auto"/>
            </w:pPr>
            <w:r>
              <w:rPr>
                <w:rFonts w:ascii="Liberation Sans" w:hAnsi="Liberation Sans"/>
                <w:b/>
                <w:color w:val="FFFFFF"/>
                <w:sz w:val="13"/>
              </w:rPr>
              <w:t>Required resolution</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V1 cut line</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Exact launch features, user stories and acceptance criteria.</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Integration order</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Which providers ship first after technical/legal feasibility research.</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Historical sync</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Backfill behavior, conflict handling, connection states and provider-specific limitations.</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Data model</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Activity, streams, health signals, providers, provenance, gear, goals, maps and derived metrics.</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Storage/processing</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Exact object store, worker/job model, stream storage strategy and GIS pipeline.</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AI tool surface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Which questions/actions are supported in V1 and which deterministic tools the model may call.</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Metrics</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Which training models ship first and how explanations/versions are represented.</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Map scope</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Exactly which heatmap/exploration features constitute V1.</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Hosted plans</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Free/paid hosted limits only when cost assumptions and product value are clearer.</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Security model</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Threats, auth/session design, authorization, secrets, rate limits, privacy zones and deletion/export implementation.</w:t>
            </w:r>
          </w:p>
        </w:tc>
      </w:tr>
      <w:tr>
        <w:tc>
          <w:tcPr>
            <w:tcW w:type="dxa" w:w="2088"/>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Observability/SLOs</w:t>
            </w:r>
          </w:p>
        </w:tc>
        <w:tc>
          <w:tcPr>
            <w:tcW w:type="dxa" w:w="7560"/>
            <w:tcMar>
              <w:top w:w="80" w:type="dxa"/>
              <w:start w:w="90" w:type="dxa"/>
              <w:bottom w:w="80" w:type="dxa"/>
              <w:end w:w="90" w:type="dxa"/>
            </w:tcMar>
            <w:vAlign w:val="top"/>
            <w:tcBorders>
              <w:bottom w:val="single" w:sz="4" w:color="D7DEE8"/>
            </w:tcBorders>
          </w:tcPr>
          <w:p>
            <w:pPr>
              <w:spacing w:before="0" w:after="0" w:line="247" w:lineRule="auto"/>
            </w:pPr>
            <w:r>
              <w:rPr>
                <w:rFonts w:ascii="Liberation Sans" w:hAnsi="Liberation Sans"/>
                <w:color w:val="132238"/>
                <w:sz w:val="13"/>
              </w:rPr>
              <w:t>Operational requirements and target reliability for sync/import/processing.</w:t>
            </w:r>
          </w:p>
        </w:tc>
      </w:tr>
      <w:tr>
        <w:tc>
          <w:tcPr>
            <w:tcW w:type="dxa" w:w="2088"/>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Pre-launch checks</w:t>
            </w:r>
          </w:p>
        </w:tc>
        <w:tc>
          <w:tcPr>
            <w:tcW w:type="dxa" w:w="7560"/>
            <w:tcMar>
              <w:top w:w="80" w:type="dxa"/>
              <w:start w:w="90" w:type="dxa"/>
              <w:bottom w:w="80" w:type="dxa"/>
              <w:end w:w="90" w:type="dxa"/>
            </w:tcMar>
            <w:vAlign w:val="top"/>
            <w:shd w:fill="F7F9FC"/>
            <w:tcBorders>
              <w:bottom w:val="single" w:sz="4" w:color="D7DEE8"/>
            </w:tcBorders>
          </w:tcPr>
          <w:p>
            <w:pPr>
              <w:spacing w:before="0" w:after="0" w:line="247" w:lineRule="auto"/>
            </w:pPr>
            <w:r>
              <w:rPr>
                <w:rFonts w:ascii="Liberation Sans" w:hAnsi="Liberation Sans"/>
                <w:color w:val="132238"/>
                <w:sz w:val="13"/>
              </w:rPr>
              <w:t>Trademark/handles; provider API terms and permitted data uses; AGPL-core versus hosted-network license boundary.</w:t>
            </w:r>
          </w:p>
        </w:tc>
      </w:tr>
    </w:tbl>
    <w:p>
      <w:pPr>
        <w:spacing w:after="40"/>
      </w:pPr>
    </w:p>
    <w:p>
      <w:pPr>
        <w:keepNext/>
        <w:pageBreakBefore/>
        <w:spacing w:before="200" w:after="100" w:line="240" w:lineRule="auto"/>
        <w:pBdr>
          <w:bottom w:val="single" w:sz="14" w:space="3" w:color="0F766E"/>
        </w:pBdr>
      </w:pPr>
      <w:r>
        <w:rPr>
          <w:rFonts w:ascii="Liberation Sans" w:hAnsi="Liberation Sans"/>
          <w:b/>
          <w:color w:val="132238"/>
          <w:sz w:val="38"/>
        </w:rPr>
        <w:t>14. Handoff to the Product Requirements Document</w:t>
      </w:r>
    </w:p>
    <w:p>
      <w:pPr>
        <w:spacing w:before="0" w:after="100" w:line="259" w:lineRule="auto"/>
      </w:pPr>
      <w:r>
        <w:rPr>
          <w:rFonts w:ascii="Liberation Sans" w:hAnsi="Liberation Sans"/>
          <w:b/>
          <w:i w:val="0"/>
          <w:color w:val="132238"/>
          <w:sz w:val="22"/>
        </w:rPr>
        <w:t>The PRD should now answer a narrower question: “What exactly must we build, in what order, for Kinetexa V1 to deliver this strategy?”</w:t>
      </w:r>
    </w:p>
    <w:p>
      <w:pPr>
        <w:keepNext/>
        <w:spacing w:before="140" w:after="100" w:line="240" w:lineRule="auto"/>
      </w:pPr>
      <w:r>
        <w:rPr>
          <w:rFonts w:ascii="Liberation Sans" w:hAnsi="Liberation Sans"/>
          <w:b/>
          <w:color w:val="0F766E"/>
          <w:sz w:val="26"/>
        </w:rPr>
        <w:t>Recommended PRD structure</w:t>
      </w:r>
    </w:p>
    <w:p>
      <w:pPr>
        <w:spacing w:after="80" w:line="252" w:lineRule="auto"/>
      </w:pPr>
      <w:r>
        <w:rPr>
          <w:rFonts w:ascii="Liberation Sans" w:hAnsi="Liberation Sans"/>
          <w:b/>
          <w:color w:val="132238"/>
          <w:sz w:val="20"/>
        </w:rPr>
        <w:t xml:space="preserve">1. Product objective  </w:t>
      </w:r>
      <w:r>
        <w:rPr>
          <w:rFonts w:ascii="Liberation Sans" w:hAnsi="Liberation Sans"/>
          <w:color w:val="596579"/>
          <w:sz w:val="20"/>
        </w:rPr>
        <w:t>Define the V1 outcome and measurable launch criteria.</w:t>
      </w:r>
    </w:p>
    <w:p>
      <w:pPr>
        <w:spacing w:after="80" w:line="252" w:lineRule="auto"/>
      </w:pPr>
      <w:r>
        <w:rPr>
          <w:rFonts w:ascii="Liberation Sans" w:hAnsi="Liberation Sans"/>
          <w:b/>
          <w:color w:val="132238"/>
          <w:sz w:val="20"/>
        </w:rPr>
        <w:t xml:space="preserve">2. Personas &amp; critical journeys  </w:t>
      </w:r>
      <w:r>
        <w:rPr>
          <w:rFonts w:ascii="Liberation Sans" w:hAnsi="Liberation Sans"/>
          <w:color w:val="596579"/>
          <w:sz w:val="20"/>
        </w:rPr>
        <w:t>Onboarding, connect/import, dashboard, activity analysis, maps, AI question, privacy/export.</w:t>
      </w:r>
    </w:p>
    <w:p>
      <w:pPr>
        <w:spacing w:after="80" w:line="252" w:lineRule="auto"/>
      </w:pPr>
      <w:r>
        <w:rPr>
          <w:rFonts w:ascii="Liberation Sans" w:hAnsi="Liberation Sans"/>
          <w:b/>
          <w:color w:val="132238"/>
          <w:sz w:val="20"/>
        </w:rPr>
        <w:t xml:space="preserve">3. Functional requirements  </w:t>
      </w:r>
      <w:r>
        <w:rPr>
          <w:rFonts w:ascii="Liberation Sans" w:hAnsi="Liberation Sans"/>
          <w:color w:val="596579"/>
          <w:sz w:val="20"/>
        </w:rPr>
        <w:t>Feature-by-feature requirements and acceptance criteria.</w:t>
      </w:r>
    </w:p>
    <w:p>
      <w:pPr>
        <w:spacing w:after="80" w:line="252" w:lineRule="auto"/>
      </w:pPr>
      <w:r>
        <w:rPr>
          <w:rFonts w:ascii="Liberation Sans" w:hAnsi="Liberation Sans"/>
          <w:b/>
          <w:color w:val="132238"/>
          <w:sz w:val="20"/>
        </w:rPr>
        <w:t xml:space="preserve">4. Provider requirements  </w:t>
      </w:r>
      <w:r>
        <w:rPr>
          <w:rFonts w:ascii="Liberation Sans" w:hAnsi="Liberation Sans"/>
          <w:color w:val="596579"/>
          <w:sz w:val="20"/>
        </w:rPr>
        <w:t>Capabilities, sync lifecycle, historical backfill, failures and constraints.</w:t>
      </w:r>
    </w:p>
    <w:p>
      <w:pPr>
        <w:spacing w:after="80" w:line="252" w:lineRule="auto"/>
      </w:pPr>
      <w:r>
        <w:rPr>
          <w:rFonts w:ascii="Liberation Sans" w:hAnsi="Liberation Sans"/>
          <w:b/>
          <w:color w:val="132238"/>
          <w:sz w:val="20"/>
        </w:rPr>
        <w:t xml:space="preserve">5. Data model requirements  </w:t>
      </w:r>
      <w:r>
        <w:rPr>
          <w:rFonts w:ascii="Liberation Sans" w:hAnsi="Liberation Sans"/>
          <w:color w:val="596579"/>
          <w:sz w:val="20"/>
        </w:rPr>
        <w:t>Canonical entities, streams, provenance, derived metrics and retention.</w:t>
      </w:r>
    </w:p>
    <w:p>
      <w:pPr>
        <w:spacing w:after="80" w:line="252" w:lineRule="auto"/>
      </w:pPr>
      <w:r>
        <w:rPr>
          <w:rFonts w:ascii="Liberation Sans" w:hAnsi="Liberation Sans"/>
          <w:b/>
          <w:color w:val="132238"/>
          <w:sz w:val="20"/>
        </w:rPr>
        <w:t xml:space="preserve">6. AI requirements  </w:t>
      </w:r>
      <w:r>
        <w:rPr>
          <w:rFonts w:ascii="Liberation Sans" w:hAnsi="Liberation Sans"/>
          <w:color w:val="596579"/>
          <w:sz w:val="20"/>
        </w:rPr>
        <w:t>Allowed tools, evidence rules, consent, safety, cost and evaluation.</w:t>
      </w:r>
    </w:p>
    <w:p>
      <w:pPr>
        <w:spacing w:after="80" w:line="252" w:lineRule="auto"/>
      </w:pPr>
      <w:r>
        <w:rPr>
          <w:rFonts w:ascii="Liberation Sans" w:hAnsi="Liberation Sans"/>
          <w:b/>
          <w:color w:val="132238"/>
          <w:sz w:val="20"/>
        </w:rPr>
        <w:t xml:space="preserve">7. GIS requirements  </w:t>
      </w:r>
      <w:r>
        <w:rPr>
          <w:rFonts w:ascii="Liberation Sans" w:hAnsi="Liberation Sans"/>
          <w:color w:val="596579"/>
          <w:sz w:val="20"/>
        </w:rPr>
        <w:t>Map behavior, route geometry, heatmaps and performance considerations.</w:t>
      </w:r>
    </w:p>
    <w:p>
      <w:pPr>
        <w:spacing w:after="80" w:line="252" w:lineRule="auto"/>
      </w:pPr>
      <w:r>
        <w:rPr>
          <w:rFonts w:ascii="Liberation Sans" w:hAnsi="Liberation Sans"/>
          <w:b/>
          <w:color w:val="132238"/>
          <w:sz w:val="20"/>
        </w:rPr>
        <w:t xml:space="preserve">8. Non-functional requirements  </w:t>
      </w:r>
      <w:r>
        <w:rPr>
          <w:rFonts w:ascii="Liberation Sans" w:hAnsi="Liberation Sans"/>
          <w:color w:val="596579"/>
          <w:sz w:val="20"/>
        </w:rPr>
        <w:t>Performance, availability, security, privacy, accessibility, mobile/responsive behavior and observability.</w:t>
      </w:r>
    </w:p>
    <w:p>
      <w:pPr>
        <w:spacing w:after="80" w:line="252" w:lineRule="auto"/>
      </w:pPr>
      <w:r>
        <w:rPr>
          <w:rFonts w:ascii="Liberation Sans" w:hAnsi="Liberation Sans"/>
          <w:b/>
          <w:color w:val="132238"/>
          <w:sz w:val="20"/>
        </w:rPr>
        <w:t xml:space="preserve">9. Architecture constraints  </w:t>
      </w:r>
      <w:r>
        <w:rPr>
          <w:rFonts w:ascii="Liberation Sans" w:hAnsi="Liberation Sans"/>
          <w:color w:val="596579"/>
          <w:sz w:val="20"/>
        </w:rPr>
        <w:t>Agreed stack plus justified specialized infrastructure.</w:t>
      </w:r>
    </w:p>
    <w:p>
      <w:pPr>
        <w:spacing w:after="80" w:line="252" w:lineRule="auto"/>
      </w:pPr>
      <w:r>
        <w:rPr>
          <w:rFonts w:ascii="Liberation Sans" w:hAnsi="Liberation Sans"/>
          <w:b/>
          <w:color w:val="132238"/>
          <w:sz w:val="20"/>
        </w:rPr>
        <w:t xml:space="preserve">10. Analytics &amp; telemetry  </w:t>
      </w:r>
      <w:r>
        <w:rPr>
          <w:rFonts w:ascii="Liberation Sans" w:hAnsi="Liberation Sans"/>
          <w:color w:val="596579"/>
          <w:sz w:val="20"/>
        </w:rPr>
        <w:t>PostHog events, product KPIs and operational metrics.</w:t>
      </w:r>
    </w:p>
    <w:p>
      <w:pPr>
        <w:spacing w:after="80" w:line="252" w:lineRule="auto"/>
      </w:pPr>
      <w:r>
        <w:rPr>
          <w:rFonts w:ascii="Liberation Sans" w:hAnsi="Liberation Sans"/>
          <w:b/>
          <w:color w:val="132238"/>
          <w:sz w:val="20"/>
        </w:rPr>
        <w:t xml:space="preserve">11. Milestones  </w:t>
      </w:r>
      <w:r>
        <w:rPr>
          <w:rFonts w:ascii="Liberation Sans" w:hAnsi="Liberation Sans"/>
          <w:color w:val="596579"/>
          <w:sz w:val="20"/>
        </w:rPr>
        <w:t>Vertical slices that produce usable product increments rather than isolated infrastructure work.</w:t>
      </w:r>
    </w:p>
    <w:p>
      <w:pPr>
        <w:spacing w:after="80" w:line="252" w:lineRule="auto"/>
      </w:pPr>
      <w:r>
        <w:rPr>
          <w:rFonts w:ascii="Liberation Sans" w:hAnsi="Liberation Sans"/>
          <w:b/>
          <w:color w:val="132238"/>
          <w:sz w:val="20"/>
        </w:rPr>
        <w:t xml:space="preserve">12. Out of scope  </w:t>
      </w:r>
      <w:r>
        <w:rPr>
          <w:rFonts w:ascii="Liberation Sans" w:hAnsi="Liberation Sans"/>
          <w:color w:val="596579"/>
          <w:sz w:val="20"/>
        </w:rPr>
        <w:t>Explicitly protect the V1 cut line.</w:t>
      </w:r>
    </w:p>
    <w:tbl>
      <w:tblPr>
        <w:tblW w:type="auto" w:w="0"/>
        <w:jc w:val="center"/>
        <w:tblLayout w:type="autofit"/>
        <w:tblLook w:firstColumn="1" w:firstRow="1" w:lastColumn="0" w:lastRow="0" w:noHBand="0" w:noVBand="1" w:val="04A0"/>
      </w:tblPr>
      <w:tblGrid>
        <w:gridCol w:w="9994"/>
      </w:tblGrid>
      <w:tr>
        <w:tc>
          <w:tcPr>
            <w:tcW w:type="dxa" w:w="9994"/>
            <w:shd w:fill="E8F5F3"/>
            <w:tcMar>
              <w:top w:w="120" w:type="dxa"/>
              <w:start w:w="150" w:type="dxa"/>
              <w:bottom w:w="120" w:type="dxa"/>
              <w:end w:w="150" w:type="dxa"/>
            </w:tcMar>
            <w:tcBorders>
              <w:top w:val="nil"/>
              <w:left w:val="single" w:sz="20" w:color="0F766E"/>
              <w:bottom w:val="nil"/>
              <w:right w:val="nil"/>
            </w:tcBorders>
          </w:tcPr>
          <w:p>
            <w:pPr>
              <w:spacing w:before="0" w:after="60" w:line="252" w:lineRule="auto"/>
            </w:pPr>
            <w:r>
              <w:rPr>
                <w:rFonts w:ascii="Liberation Sans" w:hAnsi="Liberation Sans"/>
                <w:b/>
                <w:color w:val="0F766E"/>
                <w:sz w:val="20"/>
              </w:rPr>
              <w:t>ALIGNMENT GATE</w:t>
            </w:r>
          </w:p>
          <w:p>
            <w:pPr>
              <w:spacing w:before="0" w:after="0" w:line="259" w:lineRule="auto"/>
            </w:pPr>
            <w:r>
              <w:rPr>
                <w:rFonts w:ascii="Liberation Sans" w:hAnsi="Liberation Sans"/>
                <w:color w:val="132238"/>
                <w:sz w:val="20"/>
              </w:rPr>
              <w:t>A proposed PRD requirement should be rejected or deferred if it does not strengthen one of the product pillars, satisfy a core user job, protect a product principle, or create necessary platform/reliability/security capability.</w:t>
            </w:r>
          </w:p>
        </w:tc>
      </w:tr>
    </w:tbl>
    <w:p>
      <w:pPr>
        <w:spacing w:after="20"/>
      </w:pPr>
    </w:p>
    <w:p>
      <w:pPr>
        <w:keepNext/>
        <w:spacing w:before="140" w:after="100" w:line="240" w:lineRule="auto"/>
      </w:pPr>
      <w:r>
        <w:rPr>
          <w:rFonts w:ascii="Liberation Sans" w:hAnsi="Liberation Sans"/>
          <w:b/>
          <w:color w:val="0F766E"/>
          <w:sz w:val="26"/>
        </w:rPr>
        <w:t>Suggested first vertical slice</w:t>
      </w:r>
    </w:p>
    <w:p>
      <w:pPr>
        <w:spacing w:before="0" w:after="100" w:line="259" w:lineRule="auto"/>
      </w:pPr>
      <w:r>
        <w:rPr>
          <w:rFonts w:ascii="Liberation Sans" w:hAnsi="Liberation Sans"/>
          <w:b w:val="0"/>
          <w:i w:val="0"/>
          <w:color w:val="596579"/>
          <w:sz w:val="20"/>
        </w:rPr>
        <w:t>The first end-to-end slice should prove the product core rather than the social network:</w:t>
      </w:r>
    </w:p>
    <w:p>
      <w:pPr>
        <w:spacing w:before="0" w:after="200" w:line="259" w:lineRule="auto"/>
      </w:pPr>
      <w:r>
        <w:rPr>
          <w:rFonts w:ascii="Liberation Sans" w:hAnsi="Liberation Sans"/>
          <w:b/>
          <w:i w:val="0"/>
          <w:color w:val="132238"/>
          <w:sz w:val="20"/>
        </w:rPr>
        <w:t xml:space="preserve">Account → </w:t>
      </w:r>
      <w:r>
        <w:rPr>
          <w:rFonts w:ascii="Liberation Sans" w:hAnsi="Liberation Sans"/>
          <w:b/>
          <w:i w:val="0"/>
          <w:color w:val="0F766E"/>
          <w:sz w:val="20"/>
        </w:rPr>
        <w:t xml:space="preserve">import/connect one activity source → </w:t>
      </w:r>
      <w:r>
        <w:rPr>
          <w:rFonts w:ascii="Liberation Sans" w:hAnsi="Liberation Sans"/>
          <w:b/>
          <w:i w:val="0"/>
          <w:color w:val="132238"/>
          <w:sz w:val="20"/>
        </w:rPr>
        <w:t xml:space="preserve">canonical activity → </w:t>
      </w:r>
      <w:r>
        <w:rPr>
          <w:rFonts w:ascii="Liberation Sans" w:hAnsi="Liberation Sans"/>
          <w:b/>
          <w:i w:val="0"/>
          <w:color w:val="2563EB"/>
          <w:sz w:val="20"/>
        </w:rPr>
        <w:t xml:space="preserve">rich activity view → </w:t>
      </w:r>
      <w:r>
        <w:rPr>
          <w:rFonts w:ascii="Liberation Sans" w:hAnsi="Liberation Sans"/>
          <w:b/>
          <w:i w:val="0"/>
          <w:color w:val="132238"/>
          <w:sz w:val="20"/>
        </w:rPr>
        <w:t xml:space="preserve">one training insight → </w:t>
      </w:r>
      <w:r>
        <w:rPr>
          <w:rFonts w:ascii="Liberation Sans" w:hAnsi="Liberation Sans"/>
          <w:b/>
          <w:i w:val="0"/>
          <w:color w:val="0F766E"/>
          <w:sz w:val="20"/>
        </w:rPr>
        <w:t xml:space="preserve">one map insight → </w:t>
      </w:r>
      <w:r>
        <w:rPr>
          <w:rFonts w:ascii="Liberation Sans" w:hAnsi="Liberation Sans"/>
          <w:b/>
          <w:i w:val="0"/>
          <w:color w:val="132238"/>
          <w:sz w:val="20"/>
        </w:rPr>
        <w:t>one grounded AI explanation.</w:t>
      </w:r>
    </w:p>
    <w:p>
      <w:pPr>
        <w:spacing w:before="0" w:after="100" w:line="259" w:lineRule="auto"/>
      </w:pPr>
      <w:r>
        <w:rPr>
          <w:rFonts w:ascii="Liberation Sans" w:hAnsi="Liberation Sans"/>
          <w:b/>
          <w:i w:val="0"/>
          <w:color w:val="132238"/>
          <w:sz w:val="21"/>
        </w:rPr>
        <w:t>Once that vertical slice is excellent, Kinetexa has proven the architecture and the product thesis at the same time.</w:t>
      </w:r>
    </w:p>
    <w:p>
      <w:pPr>
        <w:spacing w:before="600"/>
        <w:jc w:val="center"/>
      </w:pPr>
      <w:r>
        <w:rPr>
          <w:rFonts w:ascii="Liberation Sans" w:hAnsi="Liberation Sans"/>
          <w:b/>
          <w:color w:val="596579"/>
          <w:sz w:val="16"/>
        </w:rPr>
        <w:t>END OF PRODUCT DEFINITION &amp; STRATEGY BRIEF</w:t>
      </w:r>
    </w:p>
    <w:p>
      <w:pPr>
        <w:jc w:val="center"/>
      </w:pPr>
      <w:r>
        <w:rPr>
          <w:rFonts w:ascii="Liberation Sans" w:hAnsi="Liberation Sans"/>
          <w:b/>
          <w:color w:val="0F766E"/>
          <w:sz w:val="20"/>
        </w:rPr>
        <w:t>Next artifact: Kinetexa V1 Product Requirements Document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tcMar>
            <w:top w:w="20" w:type="dxa"/>
            <w:start w:w="0" w:type="dxa"/>
            <w:bottom w:w="20" w:type="dxa"/>
            <w:end w:w="0" w:type="dxa"/>
          </w:tcMar>
        </w:tcPr>
        <w:p>
          <w:r>
            <w:rPr>
              <w:rFonts w:ascii="Liberation Sans" w:hAnsi="Liberation Sans"/>
              <w:color w:val="596579"/>
              <w:sz w:val="14"/>
            </w:rPr>
            <w:t>Working document • v0.1</w:t>
          </w:r>
        </w:p>
      </w:tc>
      <w:tc>
        <w:tcPr>
          <w:tcW w:type="dxa" w:w="3312"/>
          <w:tcMar>
            <w:top w:w="20" w:type="dxa"/>
            <w:start w:w="0" w:type="dxa"/>
            <w:bottom w:w="20" w:type="dxa"/>
            <w:end w:w="0" w:type="dxa"/>
          </w:tcMar>
        </w:tcPr>
        <w:p>
          <w:pPr>
            <w:jc w:val="center"/>
          </w:pPr>
          <w:r>
            <w:rPr>
              <w:rFonts w:ascii="Liberation Sans" w:hAnsi="Liberation Sans"/>
              <w:color w:val="596579"/>
              <w:sz w:val="14"/>
            </w:rPr>
            <w:t>Pre-PRD alignment</w:t>
          </w:r>
        </w:p>
      </w:tc>
      <w:tc>
        <w:tcPr>
          <w:tcW w:type="dxa" w:w="3312"/>
          <w:tcMar>
            <w:top w:w="20" w:type="dxa"/>
            <w:start w:w="0" w:type="dxa"/>
            <w:bottom w:w="20" w:type="dxa"/>
            <w:end w:w="0" w:type="dxa"/>
          </w:tcMar>
        </w:tcPr>
        <w:p>
          <w:pPr>
            <w:jc w:val="right"/>
          </w:pPr>
          <w:r>
            <w:rPr>
              <w:rFonts w:ascii="Liberation Sans" w:hAnsi="Liberation Sans"/>
              <w:color w:val="596579"/>
              <w:sz w:val="14"/>
            </w:rPr>
            <w:t>September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96579"/>
        <w:sz w:val="15"/>
      </w:rPr>
      <w:t>KINETEXA  /  PRODUCT DEFINITION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32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Kinetexa Product Definition &amp; Strategy Brief</dc:title>
  <dc:subject>Pre-PRD product alignment for Kinetexa</dc:subject>
  <dc:creator>Kinetexa</dc:creator>
  <cp:keywords>Kinetexa, product strategy, product definition, fitness intelligence, open source</cp:keywords>
  <dc:description>Working document v0.1</dc:description>
  <cp:lastModifiedBy/>
  <cp:revision>1</cp:revision>
  <dcterms:created xsi:type="dcterms:W3CDTF">2013-12-23T23:15:00Z</dcterms:created>
  <dcterms:modified xsi:type="dcterms:W3CDTF">2013-12-23T23:15:00Z</dcterms:modified>
  <cp:category/>
</cp:coreProperties>
</file>