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44095899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3598C38B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0927CCB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4E85C0A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71B4F2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:rsidRPr="006921DE" w:rsidR="0023400D" w:rsidP="0023400D" w:rsidRDefault="0023400D" w14:paraId="77D6C249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20CB4A9D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611FA6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382B7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1FA3B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478A4D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8BFA1A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78EE48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3593DE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699586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E2479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55F8BF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3E09F7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50C0CBB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D8A37C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01F0486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55399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7A15B0B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6F7D9FBC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2D284F05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7E6C3FC4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19D730F3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6DD46CC0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4165D7BF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B129C5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1403B8C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3F2C0651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095D066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0CA57D5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7D9860BD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59C4351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5736562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5A93EDFC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781DB1E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263E4D66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7B88E292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16FB171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39B2642A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0BB974AE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4BDED62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548AEF4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D2E35" w:rsidRDefault="00DE3BB2" w14:paraId="306CA520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D2E35" w:rsidRDefault="0055738E" w14:paraId="53079856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56C01AB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346B21" w14:paraId="2CD71595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D68F8F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F250F26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C30DB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FD2E35" w:rsidRDefault="0055738E" w14:paraId="64F1979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FD2E35" w:rsidRDefault="0055738E" w14:paraId="2352717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4DD58FA2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263AF9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55367F4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7BC7D56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3C52C17C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14F40EAC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5A2F92C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B25A22" w14:paraId="2F3D2F9D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3EDF7CE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4572" w:type="dxa"/>
                            </w:tcPr>
                            <w:p w:rsidR="00B25A22" w:rsidP="00FD2E35" w:rsidRDefault="00B25A22" w14:paraId="183DE8A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:rsidR="00B25A22" w:rsidP="00FD2E35" w:rsidRDefault="00B25A22" w14:paraId="1A11FB3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042DE01A" w14:textId="77777777">
                      <w:tc>
                        <w:tcPr>
                          <w:tcW w:w="4572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9585634" w14:textId="77777777">
      <w:pPr>
        <w:pStyle w:val="GroupSeparation"/>
        <w:spacing w:after="0" w:line="240" w:lineRule="auto"/>
      </w:pPr>
    </w:p>
    <w:p w:rsidR="00B25A22" w:rsidP="005B41A2" w:rsidRDefault="00B25A22" w14:paraId="2CEFDD43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FD2E35" w:rsidRDefault="001A63CC" w14:paraId="09081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FD2E35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FD2E35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AE6" w:rsidP="00E40C63" w:rsidRDefault="00403AE6" w14:paraId="514F17BD" w14:textId="77777777">
      <w:pPr>
        <w:spacing w:after="0"/>
      </w:pPr>
      <w:r>
        <w:separator/>
      </w:r>
    </w:p>
  </w:endnote>
  <w:endnote w:type="continuationSeparator" w:id="0">
    <w:p w:rsidR="00403AE6" w:rsidP="00E40C63" w:rsidRDefault="00403AE6" w14:paraId="7D881EF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77484C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7236A1E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6BFAC0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ED878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C16BE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2600AD72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094E75E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B7CAE41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935DACB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pfUXVw=="/>
        </w:sdtPr>
        <w:sdtContent>
          <w:tc>
            <w:tcPr>
              <w:tcW w:w="1250" w:type="pct"/>
            </w:tcPr>
            <w:p w:rsidRPr="003260F6" w:rsidR="0023400D" w:rsidP="00C43401" w:rsidRDefault="00FD2E35" w14:paraId="12176169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A9E08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pfUXVw=="/>
        </w:sdtPr>
        <w:sdtContent>
          <w:tc>
            <w:tcPr>
              <w:tcW w:w="1250" w:type="pct"/>
            </w:tcPr>
            <w:p w:rsidRPr="005A2FAF" w:rsidR="0023400D" w:rsidP="00C43401" w:rsidRDefault="00FD2E35" w14:paraId="009E8D93" w14:textId="77777777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591831C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AE6" w:rsidP="00E40C63" w:rsidRDefault="00403AE6" w14:paraId="4A7E740F" w14:textId="77777777">
      <w:pPr>
        <w:spacing w:after="0"/>
      </w:pPr>
      <w:r>
        <w:separator/>
      </w:r>
    </w:p>
  </w:footnote>
  <w:footnote w:type="continuationSeparator" w:id="0">
    <w:p w:rsidR="00403AE6" w:rsidP="00E40C63" w:rsidRDefault="00403AE6" w14:paraId="13A7010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67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3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2022-06-15T13:13:00Z</dcterms:modified>
</cp:coreProperties>
</file>