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731"/>
        <w:gridCol w:w="1927"/>
      </w:tblGrid>
      <w:tr>
        <w:trPr>
          <w:trHeight w:val="73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clusters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192.474***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749.841***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(89.500)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population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4.549***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(0.665)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size in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-3.282***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(0.347)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Vacancy rate per district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-9.761***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(2.557)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 per m²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-32.945***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(4.075)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age 60+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(1.637)</w:t>
            </w:r>
          </w:p>
        </w:tc>
      </w:tr>
      <w:tr>
        <w:trPr>
          <w:trHeight w:val="8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Built-up area change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% ('05–'20)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(0.971)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 revenue per capita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8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125.160***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3: Growing,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spacious, rural family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-48.858***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4: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108.602***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4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62.64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2025-03-30T11:10:33Z</dcterms:modified>
  <cp:category/>
</cp:coreProperties>
</file>