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0"/>
          <w:szCs w:val="20"/>
          <w:lang w:val="ro-RO"/>
        </w:rPr>
      </w:pPr>
      <w:r>
        <w:rPr>
          <w:b/>
          <w:sz w:val="20"/>
          <w:szCs w:val="20"/>
          <w:lang w:val="ro-RO"/>
        </w:rPr>
        <w:t>Facultatea de Matematică și Informatică</w:t>
      </w:r>
    </w:p>
    <w:p>
      <w:pPr>
        <w:jc w:val="center"/>
        <w:rPr>
          <w:b/>
          <w:sz w:val="20"/>
          <w:szCs w:val="20"/>
          <w:lang w:val="ro-RO"/>
        </w:rPr>
      </w:pPr>
      <w:r>
        <w:rPr>
          <w:b/>
          <w:sz w:val="20"/>
          <w:szCs w:val="20"/>
          <w:lang w:val="ro-RO"/>
        </w:rPr>
        <w:t>Universitatea din București</w:t>
      </w: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b/>
          <w:sz w:val="20"/>
          <w:szCs w:val="20"/>
          <w:lang w:val="ro-RO"/>
        </w:rPr>
      </w:pPr>
      <w:r>
        <w:rPr>
          <w:b/>
          <w:sz w:val="20"/>
          <w:szCs w:val="20"/>
          <w:lang w:val="ro-RO"/>
        </w:rPr>
        <w:t>Laborator</w:t>
      </w:r>
    </w:p>
    <w:p>
      <w:pPr>
        <w:jc w:val="center"/>
        <w:rPr>
          <w:b/>
          <w:sz w:val="40"/>
          <w:szCs w:val="20"/>
          <w:lang w:val="ro-RO"/>
        </w:rPr>
      </w:pPr>
      <w:r>
        <w:rPr>
          <w:b/>
          <w:sz w:val="40"/>
          <w:szCs w:val="20"/>
          <w:lang w:val="ro-RO"/>
        </w:rPr>
        <w:t>Programare orientată pe obiecte</w:t>
      </w:r>
    </w:p>
    <w:p>
      <w:pPr>
        <w:jc w:val="center"/>
        <w:rPr>
          <w:sz w:val="20"/>
          <w:szCs w:val="20"/>
          <w:lang w:val="ro-RO"/>
        </w:rPr>
      </w:pPr>
    </w:p>
    <w:p>
      <w:pPr>
        <w:jc w:val="center"/>
        <w:rPr>
          <w:sz w:val="20"/>
          <w:szCs w:val="20"/>
          <w:lang w:val="ro-RO"/>
        </w:rPr>
      </w:pPr>
    </w:p>
    <w:p>
      <w:pPr>
        <w:jc w:val="center"/>
        <w:rPr>
          <w:sz w:val="20"/>
          <w:szCs w:val="20"/>
          <w:lang w:val="ro-RO"/>
        </w:rPr>
      </w:pPr>
    </w:p>
    <w:p>
      <w:pPr>
        <w:jc w:val="center"/>
        <w:rPr>
          <w:b/>
          <w:sz w:val="28"/>
          <w:szCs w:val="20"/>
          <w:lang w:val="ro-RO"/>
        </w:rPr>
      </w:pPr>
      <w:r>
        <w:rPr>
          <w:b/>
          <w:sz w:val="28"/>
          <w:szCs w:val="20"/>
          <w:lang w:val="ro-RO"/>
        </w:rPr>
        <w:t>Proiectul 1 - Tema 3</w:t>
      </w: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sz w:val="20"/>
          <w:szCs w:val="20"/>
          <w:lang w:val="ro-RO"/>
        </w:rPr>
      </w:pPr>
    </w:p>
    <w:p>
      <w:pPr>
        <w:jc w:val="center"/>
        <w:rPr>
          <w:b/>
          <w:sz w:val="20"/>
          <w:szCs w:val="20"/>
          <w:lang w:val="ro-RO"/>
        </w:rPr>
      </w:pPr>
      <w:r>
        <w:rPr>
          <w:b/>
          <w:sz w:val="20"/>
          <w:szCs w:val="20"/>
          <w:lang w:val="ro-RO"/>
        </w:rPr>
        <w:t>Ștefan Râpeanu-Andreescu</w:t>
      </w:r>
    </w:p>
    <w:p>
      <w:pPr>
        <w:jc w:val="center"/>
        <w:rPr>
          <w:sz w:val="20"/>
          <w:szCs w:val="20"/>
          <w:lang w:val="ro-RO"/>
        </w:rPr>
      </w:pPr>
    </w:p>
    <w:tbl>
      <w:tblPr>
        <w:tblStyle w:val="20"/>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427"/>
        <w:gridCol w:w="8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 w:hRule="atLeast"/>
        </w:trPr>
        <w:tc>
          <w:tcPr>
            <w:tcW w:w="1278" w:type="dxa"/>
            <w:gridSpan w:val="2"/>
            <w:shd w:val="clear" w:color="auto" w:fill="538135" w:themeFill="accent6" w:themeFillShade="BF"/>
            <w:vAlign w:val="center"/>
          </w:tcPr>
          <w:p>
            <w:pPr>
              <w:jc w:val="center"/>
              <w:rPr>
                <w:b/>
                <w:color w:val="FFFFFF" w:themeColor="background1"/>
                <w:sz w:val="24"/>
                <w:szCs w:val="20"/>
                <w:lang w:val="ro-RO"/>
                <w14:textFill>
                  <w14:solidFill>
                    <w14:schemeClr w14:val="bg1"/>
                  </w14:solidFill>
                </w14:textFill>
              </w:rPr>
            </w:pPr>
            <w:r>
              <w:rPr>
                <w:b/>
                <w:color w:val="FFFFFF" w:themeColor="background1"/>
                <w:sz w:val="24"/>
                <w:szCs w:val="20"/>
                <w:lang w:val="ro-RO"/>
                <w14:textFill>
                  <w14:solidFill>
                    <w14:schemeClr w14:val="bg1"/>
                  </w14:solidFill>
                </w14:textFill>
              </w:rPr>
              <w:t>Tema 3</w:t>
            </w:r>
          </w:p>
        </w:tc>
        <w:tc>
          <w:tcPr>
            <w:tcW w:w="8122" w:type="dxa"/>
            <w:shd w:val="clear" w:color="auto" w:fill="C00000"/>
            <w:vAlign w:val="center"/>
          </w:tcPr>
          <w:p>
            <w:pPr>
              <w:jc w:val="center"/>
              <w:rPr>
                <w:b/>
                <w:color w:val="FFFFFF" w:themeColor="background1"/>
                <w:sz w:val="24"/>
                <w:szCs w:val="20"/>
                <w:lang w:val="ro-RO"/>
                <w14:textFill>
                  <w14:solidFill>
                    <w14:schemeClr w14:val="bg1"/>
                  </w14:solidFill>
                </w14:textFill>
              </w:rPr>
            </w:pPr>
            <w:r>
              <w:rPr>
                <w:b/>
                <w:color w:val="FFFFFF" w:themeColor="background1"/>
                <w:sz w:val="24"/>
                <w:szCs w:val="20"/>
                <w:lang w:val="ro-RO"/>
                <w14:textFill>
                  <w14:solidFill>
                    <w14:schemeClr w14:val="bg1"/>
                  </w14:solidFill>
                </w14:textFill>
              </w:rPr>
              <w:t>Număr întreg mare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shd w:val="clear" w:color="auto" w:fill="7030A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1.4 p</w:t>
            </w:r>
          </w:p>
        </w:tc>
        <w:tc>
          <w:tcPr>
            <w:tcW w:w="8549" w:type="dxa"/>
            <w:gridSpan w:val="2"/>
            <w:shd w:val="clear" w:color="auto" w:fill="00206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Toate cerințele generale, valabile pentru toate temele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shd w:val="clear" w:color="auto" w:fill="00B0F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0.8 p</w:t>
            </w:r>
          </w:p>
        </w:tc>
        <w:tc>
          <w:tcPr>
            <w:tcW w:w="8549" w:type="dxa"/>
            <w:gridSpan w:val="2"/>
            <w:shd w:val="clear" w:color="auto" w:fill="0070C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Respectarea unor standarde de codare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Scrierea declarației clasei într-un fișier header cu extensia hpp și scrierea definiției metodelor clasei și a funcțiilor prieten într-un fișier sursă cu extensia cpp.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Denumirea fișierului header și a fișierului sursă cu numele clasei pe care o conțin.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9"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Utilizarea consistentă a unei convenții de denumire a atributelor clasei care să ajute la ușoara identificare a acestora în cod. Convenția utilizată poate fi oricare dintre următoarele:</w:t>
            </w:r>
          </w:p>
          <w:p>
            <w:pPr>
              <w:rPr>
                <w:sz w:val="20"/>
                <w:szCs w:val="20"/>
                <w:lang w:val="ro-RO"/>
              </w:rPr>
            </w:pPr>
            <w:r>
              <w:rPr>
                <w:sz w:val="20"/>
                <w:szCs w:val="20"/>
                <w:lang w:val="ro-RO"/>
              </w:rPr>
              <w:t>- "m_" urmat de denumirea atributului, care să înceapă cu literă mică (Ex: m_attribute);</w:t>
            </w:r>
          </w:p>
          <w:p>
            <w:pPr>
              <w:rPr>
                <w:sz w:val="20"/>
                <w:szCs w:val="20"/>
                <w:lang w:val="ro-RO"/>
              </w:rPr>
            </w:pPr>
            <w:r>
              <w:rPr>
                <w:sz w:val="20"/>
                <w:szCs w:val="20"/>
                <w:lang w:val="ro-RO"/>
              </w:rPr>
              <w:t>- "_" urmat de denumirea atributului, care să înceapă cu literă mică (Ex: _attribute);</w:t>
            </w:r>
          </w:p>
          <w:p>
            <w:pPr>
              <w:rPr>
                <w:sz w:val="20"/>
                <w:szCs w:val="20"/>
                <w:lang w:val="ro-RO"/>
              </w:rPr>
            </w:pPr>
            <w:r>
              <w:rPr>
                <w:sz w:val="20"/>
                <w:szCs w:val="20"/>
                <w:lang w:val="ro-RO"/>
              </w:rPr>
              <w:t>- "m" urmat de denumirea atributului, care să înceapă cu literă mare (Ex: mAttribute).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9"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Utilizarea consistentă a unei convenții de denumire a atributelor, respectiv a funcțiilor. Convenția utilizată poate fi oricare dintre următoarele:</w:t>
            </w:r>
          </w:p>
          <w:p>
            <w:pPr>
              <w:rPr>
                <w:sz w:val="20"/>
                <w:szCs w:val="20"/>
                <w:lang w:val="ro-RO"/>
              </w:rPr>
            </w:pPr>
            <w:r>
              <w:rPr>
                <w:sz w:val="20"/>
                <w:szCs w:val="20"/>
                <w:lang w:val="ro-RO"/>
              </w:rPr>
              <w:t>- Pascal Case: (Ex: LongFunctionName, LongAttributeName);</w:t>
            </w:r>
          </w:p>
          <w:p>
            <w:pPr>
              <w:rPr>
                <w:sz w:val="20"/>
                <w:szCs w:val="20"/>
                <w:lang w:val="ro-RO"/>
              </w:rPr>
            </w:pPr>
            <w:r>
              <w:rPr>
                <w:sz w:val="20"/>
                <w:szCs w:val="20"/>
                <w:lang w:val="ro-RO"/>
              </w:rPr>
              <w:t>- Camel Case: (Ex: longFunctionName, longAttributeName);</w:t>
            </w:r>
          </w:p>
          <w:p>
            <w:pPr>
              <w:rPr>
                <w:sz w:val="20"/>
                <w:szCs w:val="20"/>
                <w:lang w:val="ro-RO"/>
              </w:rPr>
            </w:pPr>
            <w:r>
              <w:rPr>
                <w:sz w:val="20"/>
                <w:szCs w:val="20"/>
                <w:lang w:val="ro-RO"/>
              </w:rPr>
              <w:t>- Snake Case: (Ex: long_function_name, long_attribute_name).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Indentarea corectă și consistentă a codului.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Utilizarea unor nume sugestive pentru variabile și funcții în locul unora generice.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6"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Respectarea ordinii declarațiilor în clasă. Mai întâi membrii cu access public, apoi cei cu acces protected și apoi cei cu acces private. Pentru fiecare dintre aceste trei secțiuni ordinea trebuie să fie:</w:t>
            </w:r>
          </w:p>
          <w:p>
            <w:pPr>
              <w:rPr>
                <w:sz w:val="20"/>
                <w:szCs w:val="20"/>
                <w:lang w:val="ro-RO"/>
              </w:rPr>
            </w:pPr>
            <w:r>
              <w:rPr>
                <w:sz w:val="20"/>
                <w:szCs w:val="20"/>
                <w:lang w:val="ro-RO"/>
              </w:rPr>
              <w:t>- Definiții de tipuri și enumerări;</w:t>
            </w:r>
          </w:p>
          <w:p>
            <w:pPr>
              <w:rPr>
                <w:sz w:val="20"/>
                <w:szCs w:val="20"/>
                <w:lang w:val="ro-RO"/>
              </w:rPr>
            </w:pPr>
            <w:r>
              <w:rPr>
                <w:sz w:val="20"/>
                <w:szCs w:val="20"/>
                <w:lang w:val="ro-RO"/>
              </w:rPr>
              <w:t>- Atribute constante ale clasei;</w:t>
            </w:r>
          </w:p>
          <w:p>
            <w:pPr>
              <w:rPr>
                <w:sz w:val="20"/>
                <w:szCs w:val="20"/>
                <w:lang w:val="ro-RO"/>
              </w:rPr>
            </w:pPr>
            <w:r>
              <w:rPr>
                <w:sz w:val="20"/>
                <w:szCs w:val="20"/>
                <w:lang w:val="ro-RO"/>
              </w:rPr>
              <w:t>- Constructori;</w:t>
            </w:r>
          </w:p>
          <w:p>
            <w:pPr>
              <w:rPr>
                <w:sz w:val="20"/>
                <w:szCs w:val="20"/>
                <w:lang w:val="ro-RO"/>
              </w:rPr>
            </w:pPr>
            <w:r>
              <w:rPr>
                <w:sz w:val="20"/>
                <w:szCs w:val="20"/>
                <w:lang w:val="ro-RO"/>
              </w:rPr>
              <w:t>- Destructori;</w:t>
            </w:r>
          </w:p>
          <w:p>
            <w:pPr>
              <w:rPr>
                <w:sz w:val="20"/>
                <w:szCs w:val="20"/>
                <w:lang w:val="ro-RO"/>
              </w:rPr>
            </w:pPr>
            <w:r>
              <w:rPr>
                <w:sz w:val="20"/>
                <w:szCs w:val="20"/>
                <w:lang w:val="ro-RO"/>
              </w:rPr>
              <w:t>- Metode;</w:t>
            </w:r>
          </w:p>
          <w:p>
            <w:pPr>
              <w:rPr>
                <w:sz w:val="20"/>
                <w:szCs w:val="20"/>
                <w:lang w:val="ro-RO"/>
              </w:rPr>
            </w:pPr>
            <w:r>
              <w:rPr>
                <w:sz w:val="20"/>
                <w:szCs w:val="20"/>
                <w:lang w:val="ro-RO"/>
              </w:rPr>
              <w:t>- Atribute neconstante ale clasei.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Utilizarea unei singure limbi pentru scrierea codului. Este preferabilă limba engleză, deoarece cuvintele cheie ale limbajului sunt în limba engleză și se păstrează o consistență a codului în acest fel.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shd w:val="clear" w:color="auto" w:fill="00B0F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0.6 p</w:t>
            </w:r>
          </w:p>
        </w:tc>
        <w:tc>
          <w:tcPr>
            <w:tcW w:w="8549" w:type="dxa"/>
            <w:gridSpan w:val="2"/>
            <w:shd w:val="clear" w:color="auto" w:fill="0070C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Versionarea codului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0.5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Versionarea codului pe GitHub.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Utilizarea unor mesaje sugestive pentru modificările făcute într-un commit.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shd w:val="clear" w:color="auto" w:fill="7030A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9.55 p</w:t>
            </w:r>
          </w:p>
        </w:tc>
        <w:tc>
          <w:tcPr>
            <w:tcW w:w="8549" w:type="dxa"/>
            <w:gridSpan w:val="2"/>
            <w:shd w:val="clear" w:color="auto" w:fill="00206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Toate cerințele individuale ale temei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851" w:type="dxa"/>
            <w:shd w:val="clear" w:color="auto" w:fill="00B0F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0.6 p</w:t>
            </w:r>
          </w:p>
        </w:tc>
        <w:tc>
          <w:tcPr>
            <w:tcW w:w="8549" w:type="dxa"/>
            <w:gridSpan w:val="2"/>
            <w:shd w:val="clear" w:color="auto" w:fill="0070C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Atributele clasei și metodele care permit accesul la acestea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Implementarea unui atribut privat de tip std::vector&lt;char&gt; pentru stocarea cifrelor numărului.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Implementarea unui atribut privat pentru stocarea semnului numărului.</w:t>
            </w:r>
          </w:p>
        </w:tc>
      </w:tr>
      <w:tr>
        <w:tblPrEx>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Implementarea unui atribut privat pentru stocarea bazei numărului.</w:t>
            </w:r>
          </w:p>
        </w:tc>
      </w:tr>
      <w:tr>
        <w:tblPrEx>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Implementarea unei metode publice pentru furnizarea bazei numărului.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Implementarea unei metode publice pentru furnizarea semnului numărului.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shd w:val="clear" w:color="auto" w:fill="00B0F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1  p</w:t>
            </w:r>
          </w:p>
        </w:tc>
        <w:tc>
          <w:tcPr>
            <w:tcW w:w="8549" w:type="dxa"/>
            <w:gridSpan w:val="2"/>
            <w:shd w:val="clear" w:color="auto" w:fill="0070C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Constructori și destructori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851" w:type="dxa"/>
            <w:vAlign w:val="center"/>
          </w:tcPr>
          <w:p>
            <w:pPr>
              <w:jc w:val="center"/>
              <w:rPr>
                <w:sz w:val="20"/>
                <w:szCs w:val="20"/>
                <w:lang w:val="ro-RO"/>
              </w:rPr>
            </w:pPr>
            <w:bookmarkStart w:id="0" w:name="_GoBack"/>
            <w:r>
              <w:rPr>
                <w:sz w:val="20"/>
                <w:szCs w:val="20"/>
                <w:lang w:val="ro-RO"/>
              </w:rPr>
              <w:t>0.5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Implementarea unui constructor parametrizat cu valori implicite pentru parametri. Numărul întreg mare implicit va fi considerat ca fiind 0 în baza 10, iar constructorul trebuie să îndeplinească această cerință.</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851" w:type="dxa"/>
            <w:vAlign w:val="center"/>
          </w:tcPr>
          <w:p>
            <w:pPr>
              <w:jc w:val="center"/>
              <w:rPr>
                <w:sz w:val="20"/>
                <w:szCs w:val="20"/>
                <w:lang w:val="ro-RO"/>
              </w:rPr>
            </w:pPr>
            <w:r>
              <w:rPr>
                <w:sz w:val="20"/>
                <w:szCs w:val="20"/>
                <w:lang w:val="ro-RO"/>
              </w:rPr>
              <w:t>0.5 p</w:t>
            </w:r>
          </w:p>
        </w:tc>
        <w:tc>
          <w:tcPr>
            <w:tcW w:w="427" w:type="dxa"/>
            <w:vAlign w:val="center"/>
          </w:tcPr>
          <w:p>
            <w:pPr>
              <w:jc w:val="center"/>
              <w:rPr>
                <w:sz w:val="20"/>
                <w:szCs w:val="20"/>
                <w:lang w:val="en-US"/>
              </w:rPr>
            </w:pPr>
            <w:r>
              <w:rPr>
                <w:sz w:val="20"/>
                <w:szCs w:val="20"/>
                <w:lang w:val="en-US"/>
              </w:rPr>
              <w:t>x</w:t>
            </w:r>
          </w:p>
        </w:tc>
        <w:tc>
          <w:tcPr>
            <w:tcW w:w="8122" w:type="dxa"/>
            <w:vAlign w:val="center"/>
          </w:tcPr>
          <w:p>
            <w:pPr>
              <w:rPr>
                <w:sz w:val="20"/>
                <w:szCs w:val="20"/>
                <w:lang w:val="ro-RO"/>
              </w:rPr>
            </w:pPr>
            <w:r>
              <w:rPr>
                <w:sz w:val="20"/>
                <w:szCs w:val="20"/>
                <w:lang w:val="ro-RO"/>
              </w:rPr>
              <w:t>Implementarea unui constructor parametrizat care să primească ca parametru un număr întreg sub formă de std::string și să construiască obiectul pe baza acestuia. Baza va fi considerată implicit ca fiind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shd w:val="clear" w:color="auto" w:fill="00B0F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3.2 p</w:t>
            </w:r>
          </w:p>
        </w:tc>
        <w:tc>
          <w:tcPr>
            <w:tcW w:w="8549" w:type="dxa"/>
            <w:gridSpan w:val="2"/>
            <w:shd w:val="clear" w:color="auto" w:fill="0070C0"/>
            <w:vAlign w:val="center"/>
          </w:tcPr>
          <w:p>
            <w:pPr>
              <w:jc w:val="center"/>
              <w:rPr>
                <w:b/>
                <w:sz w:val="20"/>
                <w:szCs w:val="20"/>
                <w:lang w:val="ro-RO"/>
              </w:rPr>
            </w:pPr>
            <w:r>
              <w:rPr>
                <w:b/>
                <w:color w:val="FFFFFF" w:themeColor="background1"/>
                <w:sz w:val="20"/>
                <w:szCs w:val="20"/>
                <w:lang w:val="ro-RO"/>
                <w14:textFill>
                  <w14:solidFill>
                    <w14:schemeClr w14:val="bg1"/>
                  </w14:solidFill>
                </w14:textFill>
              </w:rPr>
              <w:t>Supraîncărcarea operatorilor compuși de atribuire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851" w:type="dxa"/>
            <w:vAlign w:val="center"/>
          </w:tcPr>
          <w:p>
            <w:pPr>
              <w:jc w:val="center"/>
              <w:rPr>
                <w:sz w:val="20"/>
                <w:szCs w:val="20"/>
                <w:lang w:val="ro-RO"/>
              </w:rPr>
            </w:pPr>
            <w:r>
              <w:rPr>
                <w:sz w:val="20"/>
                <w:szCs w:val="20"/>
                <w:lang w:val="ro-RO"/>
              </w:rPr>
              <w:t>0.8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 ca metodă publică a clasei, care realizează operația de adunare a două numere întregi mari, urmată de atribuirea rezultatului operandului stâng și returnarea unei referințe la operandul stâng. Operatorul trebuie scris în două variante pentru a putea funcționa cu operanzi de tipul (BigInteger,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0.8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 ca metodă publică a clasei, care realizează operația de scădere a două numere întregi mari, urmată de atribuirea rezultatului operandului stâng și returnarea unei referințe la operandul stâng. Operatorul trebuie scris în două variante pentru a putea funcționa cu operanzi de tipul (BigInteger,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0.8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 ca metodă publică a clasei, care realizează operația de înmulțire a două numere întregi mari, urmată de atribuirea rezultatului operandului stâng și returnarea unei referințe la operandul stâng. Operatorul trebuie scris în două variante pentru a putea funcționa cu operanzi de tipul (BigInteger,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0.8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 ca metodă publică a clasei, care realizează operația de împărțire a două numere întregi mari, urmată de atribuirea rezultatului operandului stâng și returnarea unei referințe la operandul stâng. Operatorul trebuie scris în două variante pentru a putea funcționa cu operanzi de tipul (BigInteger,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shd w:val="clear" w:color="auto" w:fill="00B0F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0.2 p</w:t>
            </w:r>
          </w:p>
        </w:tc>
        <w:tc>
          <w:tcPr>
            <w:tcW w:w="8549" w:type="dxa"/>
            <w:gridSpan w:val="2"/>
            <w:shd w:val="clear" w:color="auto" w:fill="0070C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Supraîncărcarea operatorilor aritmetici unari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unar + ca funcție prieten a clasei, care returnează numărul însuși.</w:t>
            </w:r>
          </w:p>
        </w:tc>
      </w:tr>
      <w:tr>
        <w:tblPrEx>
          <w:tblLayout w:type="fixed"/>
          <w:tblCellMar>
            <w:top w:w="0" w:type="dxa"/>
            <w:left w:w="108" w:type="dxa"/>
            <w:bottom w:w="0" w:type="dxa"/>
            <w:right w:w="108" w:type="dxa"/>
          </w:tblCellMar>
        </w:tblPrEx>
        <w:trPr>
          <w:trHeight w:val="356" w:hRule="atLeast"/>
        </w:trPr>
        <w:tc>
          <w:tcPr>
            <w:tcW w:w="851" w:type="dxa"/>
            <w:vAlign w:val="center"/>
          </w:tcPr>
          <w:p>
            <w:pPr>
              <w:jc w:val="center"/>
              <w:rPr>
                <w:sz w:val="20"/>
                <w:szCs w:val="20"/>
                <w:lang w:val="ro-RO"/>
              </w:rPr>
            </w:pPr>
            <w:r>
              <w:rPr>
                <w:sz w:val="20"/>
                <w:szCs w:val="20"/>
                <w:lang w:val="ro-RO"/>
              </w:rPr>
              <w:t>0.1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unar - ca funcție prieten a clasei,  care returnează opusul numărului.</w:t>
            </w:r>
          </w:p>
        </w:tc>
      </w:tr>
      <w:tr>
        <w:tblPrEx>
          <w:tblLayout w:type="fixed"/>
          <w:tblCellMar>
            <w:top w:w="0" w:type="dxa"/>
            <w:left w:w="108" w:type="dxa"/>
            <w:bottom w:w="0" w:type="dxa"/>
            <w:right w:w="108" w:type="dxa"/>
          </w:tblCellMar>
        </w:tblPrEx>
        <w:trPr>
          <w:trHeight w:val="182" w:hRule="atLeast"/>
        </w:trPr>
        <w:tc>
          <w:tcPr>
            <w:tcW w:w="851" w:type="dxa"/>
            <w:shd w:val="clear" w:color="auto" w:fill="00B0F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1.5 p</w:t>
            </w:r>
          </w:p>
        </w:tc>
        <w:tc>
          <w:tcPr>
            <w:tcW w:w="8549" w:type="dxa"/>
            <w:gridSpan w:val="2"/>
            <w:shd w:val="clear" w:color="auto" w:fill="0070C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Supraîncărcarea operatorilor aritmetici binari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 ca funcție prieten a clasei, care realizează operația de adunare a două numere întregi mari și returnează rezultatul.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 ca funcție prieten a clasei, care realizează operația de scădere a două numere întregi mari și returnează rezultatul.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 ca funcție prieten a clasei, care realizează operația de înmulțire a două numere întregi mari și returnează rezultatul.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 ca funcție prieten a clasei, care realizează operația de împărțire a două numere întregi mari și returnează rezultatul.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 care realizează operația de ridicare a unui număr întreg mare la o putere număr natural și returnează rezultatul.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shd w:val="clear" w:color="auto" w:fill="00B0F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1.8  p</w:t>
            </w:r>
          </w:p>
        </w:tc>
        <w:tc>
          <w:tcPr>
            <w:tcW w:w="8549" w:type="dxa"/>
            <w:gridSpan w:val="2"/>
            <w:shd w:val="clear" w:color="auto" w:fill="0070C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Supraîncărcarea operatorilor relaționali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 ca funcție prieten a clasei, care să verifice egalitatea a două numere întregi mari.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 ca funcție prieten a clasei, care să verifice neegalitatea a două numere întregi mari.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&lt; ca funcție prieten a clasei, care să verifice dacă un număr întreg mare este mai mic decât un alt număr întreg mare.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&lt;= ca funcție prieten a clasei, care să verifice dacă un număr întreg mare este mai mic sau egal cu un alt număr întreg mare.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&gt; ca funcție prieten a clasei, care să verifice dacă un număr întreg mare este mai mare decât un alt număr întreg mare.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5" w:hRule="atLeast"/>
        </w:trPr>
        <w:tc>
          <w:tcPr>
            <w:tcW w:w="851" w:type="dxa"/>
            <w:vAlign w:val="center"/>
          </w:tcPr>
          <w:p>
            <w:pPr>
              <w:jc w:val="center"/>
              <w:rPr>
                <w:sz w:val="20"/>
                <w:szCs w:val="20"/>
                <w:lang w:val="ro-RO"/>
              </w:rPr>
            </w:pPr>
            <w:r>
              <w:rPr>
                <w:sz w:val="20"/>
                <w:szCs w:val="20"/>
                <w:lang w:val="ro-RO"/>
              </w:rPr>
              <w:t>0.3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&gt;= ca funcție prieten a clasei, care să verifice dacă un număr întreg mare este mai mare sau egal cu un alt număr întreg mare. Operatorul trebuie scris în trei variante, pentru a putea funcționa cu operanzi de tipul (BigInteger, BigInteger), (int, BigInteger) și (BigInteger,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shd w:val="clear" w:color="auto" w:fill="00B0F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1.25 p</w:t>
            </w:r>
          </w:p>
        </w:tc>
        <w:tc>
          <w:tcPr>
            <w:tcW w:w="8549" w:type="dxa"/>
            <w:gridSpan w:val="2"/>
            <w:shd w:val="clear" w:color="auto" w:fill="0070C0"/>
            <w:vAlign w:val="center"/>
          </w:tcPr>
          <w:p>
            <w:pPr>
              <w:jc w:val="center"/>
              <w:rPr>
                <w:b/>
                <w:color w:val="FFFFFF" w:themeColor="background1"/>
                <w:sz w:val="20"/>
                <w:szCs w:val="20"/>
                <w:lang w:val="ro-RO"/>
                <w14:textFill>
                  <w14:solidFill>
                    <w14:schemeClr w14:val="bg1"/>
                  </w14:solidFill>
                </w14:textFill>
              </w:rPr>
            </w:pPr>
            <w:r>
              <w:rPr>
                <w:b/>
                <w:color w:val="FFFFFF" w:themeColor="background1"/>
                <w:sz w:val="20"/>
                <w:szCs w:val="20"/>
                <w:lang w:val="ro-RO"/>
                <w14:textFill>
                  <w14:solidFill>
                    <w14:schemeClr w14:val="bg1"/>
                  </w14:solidFill>
                </w14:textFill>
              </w:rPr>
              <w:t>Supraîncărcarea operatorilor de cititre și de scriere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851" w:type="dxa"/>
            <w:vAlign w:val="center"/>
          </w:tcPr>
          <w:p>
            <w:pPr>
              <w:jc w:val="center"/>
              <w:rPr>
                <w:sz w:val="20"/>
                <w:szCs w:val="20"/>
                <w:lang w:val="ro-RO"/>
              </w:rPr>
            </w:pPr>
            <w:r>
              <w:rPr>
                <w:sz w:val="20"/>
                <w:szCs w:val="20"/>
                <w:lang w:val="ro-RO"/>
              </w:rPr>
              <w:t>0. 5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&gt;&gt; ca funcție prieten a clasei, care realizează citirea unui număr întreg mare de la tastatură sau dintr-un fișier. Formele de reprezentare a unui număr întreg mare pentru citire sunt "a",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trPr>
        <w:tc>
          <w:tcPr>
            <w:tcW w:w="851" w:type="dxa"/>
            <w:vAlign w:val="center"/>
          </w:tcPr>
          <w:p>
            <w:pPr>
              <w:jc w:val="center"/>
              <w:rPr>
                <w:sz w:val="20"/>
                <w:szCs w:val="20"/>
                <w:lang w:val="ro-RO"/>
              </w:rPr>
            </w:pPr>
            <w:r>
              <w:rPr>
                <w:sz w:val="20"/>
                <w:szCs w:val="20"/>
                <w:lang w:val="ro-RO"/>
              </w:rPr>
              <w:t>0.75 p</w:t>
            </w:r>
          </w:p>
        </w:tc>
        <w:tc>
          <w:tcPr>
            <w:tcW w:w="427" w:type="dxa"/>
            <w:vAlign w:val="center"/>
          </w:tcPr>
          <w:p>
            <w:pPr>
              <w:jc w:val="center"/>
              <w:rPr>
                <w:sz w:val="20"/>
                <w:szCs w:val="20"/>
                <w:lang w:val="ro-RO"/>
              </w:rPr>
            </w:pPr>
          </w:p>
        </w:tc>
        <w:tc>
          <w:tcPr>
            <w:tcW w:w="8122" w:type="dxa"/>
            <w:vAlign w:val="center"/>
          </w:tcPr>
          <w:p>
            <w:pPr>
              <w:rPr>
                <w:sz w:val="20"/>
                <w:szCs w:val="20"/>
                <w:lang w:val="ro-RO"/>
              </w:rPr>
            </w:pPr>
            <w:r>
              <w:rPr>
                <w:sz w:val="20"/>
                <w:szCs w:val="20"/>
                <w:lang w:val="ro-RO"/>
              </w:rPr>
              <w:t>Supraîncărcarea operatorului binar &lt;&lt; ca funcție prieten a clasei, care realizează scrierea unui număr întreg mare în consolă sau într-un fișier. Formele de reprezentare a unui număr întreg mare pentru scriere sunt "a", "-a".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p>
        </w:tc>
        <w:tc>
          <w:tcPr>
            <w:tcW w:w="427" w:type="dxa"/>
            <w:vAlign w:val="center"/>
          </w:tcPr>
          <w:p>
            <w:pPr>
              <w:jc w:val="center"/>
              <w:rPr>
                <w:sz w:val="20"/>
                <w:szCs w:val="20"/>
                <w:lang w:val="ro-RO"/>
              </w:rPr>
            </w:pPr>
          </w:p>
        </w:tc>
        <w:tc>
          <w:tcPr>
            <w:tcW w:w="8122" w:type="dxa"/>
            <w:vAlign w:val="center"/>
          </w:tcPr>
          <w:p>
            <w:pPr>
              <w:rPr>
                <w:sz w:val="20"/>
                <w:szCs w:val="20"/>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p>
        </w:tc>
        <w:tc>
          <w:tcPr>
            <w:tcW w:w="427" w:type="dxa"/>
            <w:vAlign w:val="center"/>
          </w:tcPr>
          <w:p>
            <w:pPr>
              <w:jc w:val="center"/>
              <w:rPr>
                <w:sz w:val="20"/>
                <w:szCs w:val="20"/>
                <w:lang w:val="ro-RO"/>
              </w:rPr>
            </w:pPr>
          </w:p>
        </w:tc>
        <w:tc>
          <w:tcPr>
            <w:tcW w:w="8122" w:type="dxa"/>
            <w:vAlign w:val="center"/>
          </w:tcPr>
          <w:p>
            <w:pPr>
              <w:rPr>
                <w:sz w:val="20"/>
                <w:szCs w:val="20"/>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p>
        </w:tc>
        <w:tc>
          <w:tcPr>
            <w:tcW w:w="427" w:type="dxa"/>
            <w:vAlign w:val="center"/>
          </w:tcPr>
          <w:p>
            <w:pPr>
              <w:jc w:val="center"/>
              <w:rPr>
                <w:sz w:val="20"/>
                <w:szCs w:val="20"/>
                <w:lang w:val="ro-RO"/>
              </w:rPr>
            </w:pPr>
          </w:p>
        </w:tc>
        <w:tc>
          <w:tcPr>
            <w:tcW w:w="8122" w:type="dxa"/>
            <w:vAlign w:val="center"/>
          </w:tcPr>
          <w:p>
            <w:pPr>
              <w:rPr>
                <w:sz w:val="20"/>
                <w:szCs w:val="20"/>
                <w:lang w:val="ro-RO"/>
              </w:rPr>
            </w:pPr>
          </w:p>
        </w:tc>
      </w:tr>
      <w:tr>
        <w:tblPrEx>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p>
        </w:tc>
        <w:tc>
          <w:tcPr>
            <w:tcW w:w="427" w:type="dxa"/>
            <w:vAlign w:val="center"/>
          </w:tcPr>
          <w:p>
            <w:pPr>
              <w:jc w:val="center"/>
              <w:rPr>
                <w:sz w:val="20"/>
                <w:szCs w:val="20"/>
                <w:lang w:val="ro-RO"/>
              </w:rPr>
            </w:pPr>
          </w:p>
        </w:tc>
        <w:tc>
          <w:tcPr>
            <w:tcW w:w="8122" w:type="dxa"/>
            <w:vAlign w:val="center"/>
          </w:tcPr>
          <w:p>
            <w:pPr>
              <w:rPr>
                <w:sz w:val="20"/>
                <w:szCs w:val="20"/>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2" w:hRule="atLeast"/>
        </w:trPr>
        <w:tc>
          <w:tcPr>
            <w:tcW w:w="851" w:type="dxa"/>
            <w:vAlign w:val="center"/>
          </w:tcPr>
          <w:p>
            <w:pPr>
              <w:jc w:val="center"/>
              <w:rPr>
                <w:sz w:val="20"/>
                <w:szCs w:val="20"/>
                <w:lang w:val="ro-RO"/>
              </w:rPr>
            </w:pPr>
          </w:p>
        </w:tc>
        <w:tc>
          <w:tcPr>
            <w:tcW w:w="427" w:type="dxa"/>
            <w:vAlign w:val="center"/>
          </w:tcPr>
          <w:p>
            <w:pPr>
              <w:jc w:val="center"/>
              <w:rPr>
                <w:sz w:val="20"/>
                <w:szCs w:val="20"/>
                <w:lang w:val="ro-RO"/>
              </w:rPr>
            </w:pPr>
          </w:p>
        </w:tc>
        <w:tc>
          <w:tcPr>
            <w:tcW w:w="8122" w:type="dxa"/>
            <w:vAlign w:val="center"/>
          </w:tcPr>
          <w:p>
            <w:pPr>
              <w:rPr>
                <w:sz w:val="20"/>
                <w:szCs w:val="20"/>
                <w:lang w:val="ro-R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851" w:type="dxa"/>
            <w:vAlign w:val="center"/>
          </w:tcPr>
          <w:p>
            <w:pPr>
              <w:jc w:val="center"/>
              <w:rPr>
                <w:sz w:val="20"/>
                <w:szCs w:val="20"/>
                <w:lang w:val="ro-RO"/>
              </w:rPr>
            </w:pPr>
          </w:p>
        </w:tc>
        <w:tc>
          <w:tcPr>
            <w:tcW w:w="427" w:type="dxa"/>
            <w:vAlign w:val="center"/>
          </w:tcPr>
          <w:p>
            <w:pPr>
              <w:jc w:val="center"/>
              <w:rPr>
                <w:sz w:val="20"/>
                <w:szCs w:val="20"/>
                <w:lang w:val="ro-RO"/>
              </w:rPr>
            </w:pPr>
          </w:p>
        </w:tc>
        <w:tc>
          <w:tcPr>
            <w:tcW w:w="8122" w:type="dxa"/>
            <w:vAlign w:val="center"/>
          </w:tcPr>
          <w:p>
            <w:pPr>
              <w:rPr>
                <w:sz w:val="20"/>
                <w:szCs w:val="20"/>
                <w:lang w:val="ro-RO"/>
              </w:rPr>
            </w:pPr>
          </w:p>
        </w:tc>
      </w:tr>
    </w:tbl>
    <w:p>
      <w:pPr>
        <w:rPr>
          <w:sz w:val="20"/>
          <w:szCs w:val="20"/>
          <w:lang w:val="ro-RO"/>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EE"/>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86"/>
    <w:rsid w:val="00000F5A"/>
    <w:rsid w:val="00006F2E"/>
    <w:rsid w:val="00020E14"/>
    <w:rsid w:val="0002786E"/>
    <w:rsid w:val="00031B6A"/>
    <w:rsid w:val="00035E38"/>
    <w:rsid w:val="00037167"/>
    <w:rsid w:val="00040E26"/>
    <w:rsid w:val="00052AB7"/>
    <w:rsid w:val="00085DD6"/>
    <w:rsid w:val="000863F8"/>
    <w:rsid w:val="0009245B"/>
    <w:rsid w:val="00094A87"/>
    <w:rsid w:val="000968D8"/>
    <w:rsid w:val="000A0EF3"/>
    <w:rsid w:val="000B172D"/>
    <w:rsid w:val="000C084B"/>
    <w:rsid w:val="000D15BE"/>
    <w:rsid w:val="000D3BDF"/>
    <w:rsid w:val="000E0E00"/>
    <w:rsid w:val="000F33F0"/>
    <w:rsid w:val="000F79AA"/>
    <w:rsid w:val="00101FE6"/>
    <w:rsid w:val="001160CE"/>
    <w:rsid w:val="00116BD2"/>
    <w:rsid w:val="0012039C"/>
    <w:rsid w:val="00122F90"/>
    <w:rsid w:val="00130733"/>
    <w:rsid w:val="00131CFA"/>
    <w:rsid w:val="00137C4E"/>
    <w:rsid w:val="00141553"/>
    <w:rsid w:val="00163E52"/>
    <w:rsid w:val="001675D4"/>
    <w:rsid w:val="00183A61"/>
    <w:rsid w:val="001903C6"/>
    <w:rsid w:val="0019139A"/>
    <w:rsid w:val="001947D1"/>
    <w:rsid w:val="001A0A9A"/>
    <w:rsid w:val="001A7FE5"/>
    <w:rsid w:val="001B05A0"/>
    <w:rsid w:val="001B1DF0"/>
    <w:rsid w:val="001B22BB"/>
    <w:rsid w:val="001B5CF5"/>
    <w:rsid w:val="001C1692"/>
    <w:rsid w:val="001C175C"/>
    <w:rsid w:val="001C18F4"/>
    <w:rsid w:val="001C1F4A"/>
    <w:rsid w:val="001D10D5"/>
    <w:rsid w:val="001D2729"/>
    <w:rsid w:val="001D44D6"/>
    <w:rsid w:val="001D5BCB"/>
    <w:rsid w:val="001E5C7B"/>
    <w:rsid w:val="001E649D"/>
    <w:rsid w:val="001F20D1"/>
    <w:rsid w:val="00200401"/>
    <w:rsid w:val="00214718"/>
    <w:rsid w:val="00216B2A"/>
    <w:rsid w:val="00223F32"/>
    <w:rsid w:val="00224040"/>
    <w:rsid w:val="00225325"/>
    <w:rsid w:val="00243AEC"/>
    <w:rsid w:val="002465A5"/>
    <w:rsid w:val="00246B37"/>
    <w:rsid w:val="00246F6C"/>
    <w:rsid w:val="002556E4"/>
    <w:rsid w:val="002625E6"/>
    <w:rsid w:val="00262F5C"/>
    <w:rsid w:val="00267480"/>
    <w:rsid w:val="00274876"/>
    <w:rsid w:val="00281F5D"/>
    <w:rsid w:val="0028234E"/>
    <w:rsid w:val="002851CE"/>
    <w:rsid w:val="002925A1"/>
    <w:rsid w:val="002A2204"/>
    <w:rsid w:val="002A6243"/>
    <w:rsid w:val="002B166C"/>
    <w:rsid w:val="002B3179"/>
    <w:rsid w:val="002C4B34"/>
    <w:rsid w:val="002C4BAB"/>
    <w:rsid w:val="002D4016"/>
    <w:rsid w:val="00305BE6"/>
    <w:rsid w:val="00315C16"/>
    <w:rsid w:val="00321AC4"/>
    <w:rsid w:val="003372B5"/>
    <w:rsid w:val="00340460"/>
    <w:rsid w:val="00343F39"/>
    <w:rsid w:val="003452A2"/>
    <w:rsid w:val="003473A8"/>
    <w:rsid w:val="00347567"/>
    <w:rsid w:val="00351630"/>
    <w:rsid w:val="00351985"/>
    <w:rsid w:val="003535B8"/>
    <w:rsid w:val="0036194D"/>
    <w:rsid w:val="003647F2"/>
    <w:rsid w:val="00365215"/>
    <w:rsid w:val="003867B3"/>
    <w:rsid w:val="00395038"/>
    <w:rsid w:val="003A4783"/>
    <w:rsid w:val="003B2E3D"/>
    <w:rsid w:val="003B776B"/>
    <w:rsid w:val="003C0B30"/>
    <w:rsid w:val="003D1720"/>
    <w:rsid w:val="003D372A"/>
    <w:rsid w:val="003D7062"/>
    <w:rsid w:val="003D7FE5"/>
    <w:rsid w:val="003F521F"/>
    <w:rsid w:val="00404C6A"/>
    <w:rsid w:val="004073B9"/>
    <w:rsid w:val="004103B7"/>
    <w:rsid w:val="00410428"/>
    <w:rsid w:val="00414BE7"/>
    <w:rsid w:val="00422427"/>
    <w:rsid w:val="0043663A"/>
    <w:rsid w:val="00440289"/>
    <w:rsid w:val="00441852"/>
    <w:rsid w:val="00442DB9"/>
    <w:rsid w:val="004430B1"/>
    <w:rsid w:val="004444AC"/>
    <w:rsid w:val="004460C3"/>
    <w:rsid w:val="00447ADA"/>
    <w:rsid w:val="004717E0"/>
    <w:rsid w:val="00473FEC"/>
    <w:rsid w:val="00474AD2"/>
    <w:rsid w:val="00482C21"/>
    <w:rsid w:val="004853BE"/>
    <w:rsid w:val="004A06B4"/>
    <w:rsid w:val="004B22BF"/>
    <w:rsid w:val="004B7AC8"/>
    <w:rsid w:val="004D2CA3"/>
    <w:rsid w:val="004D6074"/>
    <w:rsid w:val="004F264E"/>
    <w:rsid w:val="004F3DB9"/>
    <w:rsid w:val="004F7453"/>
    <w:rsid w:val="00507068"/>
    <w:rsid w:val="00507A70"/>
    <w:rsid w:val="00512CAF"/>
    <w:rsid w:val="005240E1"/>
    <w:rsid w:val="00536863"/>
    <w:rsid w:val="00543251"/>
    <w:rsid w:val="005665A8"/>
    <w:rsid w:val="005A0B27"/>
    <w:rsid w:val="005A5337"/>
    <w:rsid w:val="005A7439"/>
    <w:rsid w:val="005B1FC6"/>
    <w:rsid w:val="005B43A9"/>
    <w:rsid w:val="005C1593"/>
    <w:rsid w:val="005C5E40"/>
    <w:rsid w:val="006003C9"/>
    <w:rsid w:val="00603AB7"/>
    <w:rsid w:val="006049F9"/>
    <w:rsid w:val="00622B92"/>
    <w:rsid w:val="00630D89"/>
    <w:rsid w:val="00643E02"/>
    <w:rsid w:val="0064517E"/>
    <w:rsid w:val="00657A5F"/>
    <w:rsid w:val="00676DFB"/>
    <w:rsid w:val="00684061"/>
    <w:rsid w:val="0069173A"/>
    <w:rsid w:val="0069345D"/>
    <w:rsid w:val="006A0828"/>
    <w:rsid w:val="006B6045"/>
    <w:rsid w:val="006C11CC"/>
    <w:rsid w:val="006C2924"/>
    <w:rsid w:val="006C4DE9"/>
    <w:rsid w:val="006D658E"/>
    <w:rsid w:val="006E7B7D"/>
    <w:rsid w:val="006F36C4"/>
    <w:rsid w:val="00705393"/>
    <w:rsid w:val="0071042F"/>
    <w:rsid w:val="0071760B"/>
    <w:rsid w:val="00727267"/>
    <w:rsid w:val="0072741B"/>
    <w:rsid w:val="00733E33"/>
    <w:rsid w:val="007351DA"/>
    <w:rsid w:val="00737020"/>
    <w:rsid w:val="007411CE"/>
    <w:rsid w:val="00741770"/>
    <w:rsid w:val="007455B8"/>
    <w:rsid w:val="007459C8"/>
    <w:rsid w:val="00760BF0"/>
    <w:rsid w:val="00761429"/>
    <w:rsid w:val="00765067"/>
    <w:rsid w:val="00773872"/>
    <w:rsid w:val="00774078"/>
    <w:rsid w:val="007803D8"/>
    <w:rsid w:val="007804F4"/>
    <w:rsid w:val="00783304"/>
    <w:rsid w:val="007850E9"/>
    <w:rsid w:val="00791C19"/>
    <w:rsid w:val="0079244B"/>
    <w:rsid w:val="007A0F87"/>
    <w:rsid w:val="007A3278"/>
    <w:rsid w:val="007A4CFF"/>
    <w:rsid w:val="007B00D0"/>
    <w:rsid w:val="007B0513"/>
    <w:rsid w:val="007B34C6"/>
    <w:rsid w:val="007B5AF1"/>
    <w:rsid w:val="007B7B9C"/>
    <w:rsid w:val="007C521D"/>
    <w:rsid w:val="007D27ED"/>
    <w:rsid w:val="008054AB"/>
    <w:rsid w:val="00813DF5"/>
    <w:rsid w:val="0081443C"/>
    <w:rsid w:val="00816E44"/>
    <w:rsid w:val="00820997"/>
    <w:rsid w:val="00820EBE"/>
    <w:rsid w:val="008224CF"/>
    <w:rsid w:val="00825CB0"/>
    <w:rsid w:val="00830F0E"/>
    <w:rsid w:val="008344A7"/>
    <w:rsid w:val="008453BE"/>
    <w:rsid w:val="00846297"/>
    <w:rsid w:val="00847133"/>
    <w:rsid w:val="00852E7C"/>
    <w:rsid w:val="00856EDC"/>
    <w:rsid w:val="008647EA"/>
    <w:rsid w:val="008657CF"/>
    <w:rsid w:val="00872767"/>
    <w:rsid w:val="008738A7"/>
    <w:rsid w:val="00885698"/>
    <w:rsid w:val="008A2811"/>
    <w:rsid w:val="008A3CA4"/>
    <w:rsid w:val="008A7E8C"/>
    <w:rsid w:val="008B58FE"/>
    <w:rsid w:val="008B6A50"/>
    <w:rsid w:val="008C2289"/>
    <w:rsid w:val="008C2335"/>
    <w:rsid w:val="008C34FA"/>
    <w:rsid w:val="008C56AD"/>
    <w:rsid w:val="008D00AD"/>
    <w:rsid w:val="008D3A57"/>
    <w:rsid w:val="008E4A3C"/>
    <w:rsid w:val="008F5ACF"/>
    <w:rsid w:val="008F770F"/>
    <w:rsid w:val="008F7D5B"/>
    <w:rsid w:val="00903244"/>
    <w:rsid w:val="00910CF8"/>
    <w:rsid w:val="0091564C"/>
    <w:rsid w:val="00921ABC"/>
    <w:rsid w:val="00921F1B"/>
    <w:rsid w:val="009231DB"/>
    <w:rsid w:val="00937394"/>
    <w:rsid w:val="009423A4"/>
    <w:rsid w:val="009657CA"/>
    <w:rsid w:val="0098024D"/>
    <w:rsid w:val="00982D71"/>
    <w:rsid w:val="0099016C"/>
    <w:rsid w:val="0099320E"/>
    <w:rsid w:val="009939E4"/>
    <w:rsid w:val="009A38ED"/>
    <w:rsid w:val="009A3A1B"/>
    <w:rsid w:val="009A5CBE"/>
    <w:rsid w:val="009C2774"/>
    <w:rsid w:val="009D5CCE"/>
    <w:rsid w:val="009F42FB"/>
    <w:rsid w:val="009F48E5"/>
    <w:rsid w:val="009F5EC3"/>
    <w:rsid w:val="00A0067C"/>
    <w:rsid w:val="00A05BE4"/>
    <w:rsid w:val="00A233CE"/>
    <w:rsid w:val="00A261E5"/>
    <w:rsid w:val="00A3079F"/>
    <w:rsid w:val="00A31ED1"/>
    <w:rsid w:val="00A336A1"/>
    <w:rsid w:val="00A34A26"/>
    <w:rsid w:val="00A3565B"/>
    <w:rsid w:val="00A40C7E"/>
    <w:rsid w:val="00A51A9B"/>
    <w:rsid w:val="00A52DDA"/>
    <w:rsid w:val="00A56EE4"/>
    <w:rsid w:val="00A623EC"/>
    <w:rsid w:val="00A67590"/>
    <w:rsid w:val="00A67D67"/>
    <w:rsid w:val="00A77183"/>
    <w:rsid w:val="00A85515"/>
    <w:rsid w:val="00A91554"/>
    <w:rsid w:val="00A96320"/>
    <w:rsid w:val="00A96B88"/>
    <w:rsid w:val="00AA4037"/>
    <w:rsid w:val="00AB20E7"/>
    <w:rsid w:val="00AC7A17"/>
    <w:rsid w:val="00AD5909"/>
    <w:rsid w:val="00AF22F8"/>
    <w:rsid w:val="00B06F26"/>
    <w:rsid w:val="00B11D4F"/>
    <w:rsid w:val="00B3090F"/>
    <w:rsid w:val="00B430D2"/>
    <w:rsid w:val="00B43464"/>
    <w:rsid w:val="00B50F17"/>
    <w:rsid w:val="00B51A57"/>
    <w:rsid w:val="00B6572E"/>
    <w:rsid w:val="00B65774"/>
    <w:rsid w:val="00B81583"/>
    <w:rsid w:val="00B834F7"/>
    <w:rsid w:val="00B84ABC"/>
    <w:rsid w:val="00BB55F2"/>
    <w:rsid w:val="00BB7146"/>
    <w:rsid w:val="00BB76A5"/>
    <w:rsid w:val="00BE7EAC"/>
    <w:rsid w:val="00BF0CB1"/>
    <w:rsid w:val="00BF45B1"/>
    <w:rsid w:val="00BF7EF8"/>
    <w:rsid w:val="00C10506"/>
    <w:rsid w:val="00C10D67"/>
    <w:rsid w:val="00C113F8"/>
    <w:rsid w:val="00C11F54"/>
    <w:rsid w:val="00C12D22"/>
    <w:rsid w:val="00C13D36"/>
    <w:rsid w:val="00C205EF"/>
    <w:rsid w:val="00C23C5A"/>
    <w:rsid w:val="00C24367"/>
    <w:rsid w:val="00C24B92"/>
    <w:rsid w:val="00C2628B"/>
    <w:rsid w:val="00C26F41"/>
    <w:rsid w:val="00C309A1"/>
    <w:rsid w:val="00C30DD8"/>
    <w:rsid w:val="00C32D4F"/>
    <w:rsid w:val="00C43BAE"/>
    <w:rsid w:val="00C450A3"/>
    <w:rsid w:val="00C4650F"/>
    <w:rsid w:val="00C544F5"/>
    <w:rsid w:val="00C60C35"/>
    <w:rsid w:val="00C6548C"/>
    <w:rsid w:val="00C806A5"/>
    <w:rsid w:val="00C95D29"/>
    <w:rsid w:val="00CA1E53"/>
    <w:rsid w:val="00CB6BA3"/>
    <w:rsid w:val="00CC4624"/>
    <w:rsid w:val="00CD5BA3"/>
    <w:rsid w:val="00CE0AB9"/>
    <w:rsid w:val="00CE3A1F"/>
    <w:rsid w:val="00CE4F14"/>
    <w:rsid w:val="00D10BA8"/>
    <w:rsid w:val="00D10CBE"/>
    <w:rsid w:val="00D13744"/>
    <w:rsid w:val="00D45047"/>
    <w:rsid w:val="00D622C3"/>
    <w:rsid w:val="00D64F1E"/>
    <w:rsid w:val="00D80B11"/>
    <w:rsid w:val="00D930C0"/>
    <w:rsid w:val="00D932F8"/>
    <w:rsid w:val="00D96767"/>
    <w:rsid w:val="00DA1C41"/>
    <w:rsid w:val="00DA7786"/>
    <w:rsid w:val="00DB2D44"/>
    <w:rsid w:val="00DB6BEF"/>
    <w:rsid w:val="00DC5BCD"/>
    <w:rsid w:val="00DC5C77"/>
    <w:rsid w:val="00DC69FF"/>
    <w:rsid w:val="00DD14E0"/>
    <w:rsid w:val="00DE5E09"/>
    <w:rsid w:val="00DE72AA"/>
    <w:rsid w:val="00DF0EAB"/>
    <w:rsid w:val="00DF2746"/>
    <w:rsid w:val="00E0593E"/>
    <w:rsid w:val="00E227B3"/>
    <w:rsid w:val="00E23997"/>
    <w:rsid w:val="00E32981"/>
    <w:rsid w:val="00E36363"/>
    <w:rsid w:val="00E375C6"/>
    <w:rsid w:val="00E57E71"/>
    <w:rsid w:val="00EA37E9"/>
    <w:rsid w:val="00EB1AF9"/>
    <w:rsid w:val="00EC1D22"/>
    <w:rsid w:val="00EE0691"/>
    <w:rsid w:val="00F03ACA"/>
    <w:rsid w:val="00F04C32"/>
    <w:rsid w:val="00F12BD3"/>
    <w:rsid w:val="00F277A9"/>
    <w:rsid w:val="00F35313"/>
    <w:rsid w:val="00F40333"/>
    <w:rsid w:val="00F411FC"/>
    <w:rsid w:val="00F43AFB"/>
    <w:rsid w:val="00F528EA"/>
    <w:rsid w:val="00F53750"/>
    <w:rsid w:val="00F66F8B"/>
    <w:rsid w:val="00F7353C"/>
    <w:rsid w:val="00F8796D"/>
    <w:rsid w:val="00F91A18"/>
    <w:rsid w:val="00F97C56"/>
    <w:rsid w:val="00FA1196"/>
    <w:rsid w:val="00FA1213"/>
    <w:rsid w:val="00FB5D8A"/>
    <w:rsid w:val="00FC3380"/>
    <w:rsid w:val="00FC352C"/>
    <w:rsid w:val="00FD04C6"/>
    <w:rsid w:val="00FD35E6"/>
    <w:rsid w:val="00FF246C"/>
    <w:rsid w:val="3045191A"/>
    <w:rsid w:val="45BF1E23"/>
    <w:rsid w:val="6CD60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2"/>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3"/>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4"/>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5"/>
    <w:unhideWhenUsed/>
    <w:qFormat/>
    <w:uiPriority w:val="9"/>
    <w:pPr>
      <w:keepNext/>
      <w:keepLines/>
      <w:spacing w:before="4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6"/>
    <w:unhideWhenUsed/>
    <w:qFormat/>
    <w:uiPriority w:val="9"/>
    <w:pPr>
      <w:keepNext/>
      <w:keepLines/>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7"/>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28"/>
    <w:unhideWhenUsed/>
    <w:qFormat/>
    <w:uiPriority w:val="9"/>
    <w:pPr>
      <w:keepNext/>
      <w:keepLines/>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9"/>
    <w:unhideWhenUsed/>
    <w:qFormat/>
    <w:uiPriority w:val="9"/>
    <w:pPr>
      <w:keepNext/>
      <w:keepLines/>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4">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12">
    <w:name w:val="Subtitle"/>
    <w:basedOn w:val="1"/>
    <w:next w:val="1"/>
    <w:link w:val="31"/>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30"/>
    <w:qFormat/>
    <w:uiPriority w:val="10"/>
    <w:pPr>
      <w:contextualSpacing/>
    </w:pPr>
    <w:rPr>
      <w:rFonts w:asciiTheme="majorHAnsi" w:hAnsiTheme="majorHAnsi" w:eastAsiaTheme="majorEastAsia" w:cstheme="majorBidi"/>
      <w:spacing w:val="-10"/>
      <w:kern w:val="28"/>
      <w:sz w:val="56"/>
      <w:szCs w:val="56"/>
    </w:rPr>
  </w:style>
  <w:style w:type="character" w:styleId="15">
    <w:name w:val="Emphasis"/>
    <w:basedOn w:val="14"/>
    <w:qFormat/>
    <w:uiPriority w:val="20"/>
    <w:rPr>
      <w:i/>
      <w:iCs/>
    </w:rPr>
  </w:style>
  <w:style w:type="character" w:styleId="16">
    <w:name w:val="FollowedHyperlink"/>
    <w:basedOn w:val="14"/>
    <w:unhideWhenUsed/>
    <w:uiPriority w:val="99"/>
    <w:rPr>
      <w:color w:val="954F72" w:themeColor="followedHyperlink"/>
      <w:u w:val="single"/>
      <w14:textFill>
        <w14:solidFill>
          <w14:schemeClr w14:val="folHlink"/>
        </w14:solidFill>
      </w14:textFill>
    </w:rPr>
  </w:style>
  <w:style w:type="character" w:styleId="17">
    <w:name w:val="Hyperlink"/>
    <w:basedOn w:val="14"/>
    <w:unhideWhenUsed/>
    <w:uiPriority w:val="99"/>
    <w:rPr>
      <w:color w:val="0563C1" w:themeColor="hyperlink"/>
      <w:u w:val="single"/>
      <w14:textFill>
        <w14:solidFill>
          <w14:schemeClr w14:val="hlink"/>
        </w14:solidFill>
      </w14:textFill>
    </w:rPr>
  </w:style>
  <w:style w:type="character" w:styleId="18">
    <w:name w:val="Strong"/>
    <w:basedOn w:val="14"/>
    <w:qFormat/>
    <w:uiPriority w:val="22"/>
    <w:rPr>
      <w:b/>
      <w:bCs/>
    </w:rPr>
  </w:style>
  <w:style w:type="table" w:styleId="20">
    <w:name w:val="Table Grid"/>
    <w:basedOn w:val="1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Heading 1 Char"/>
    <w:basedOn w:val="14"/>
    <w:link w:val="2"/>
    <w:uiPriority w:val="9"/>
    <w:rPr>
      <w:rFonts w:asciiTheme="majorHAnsi" w:hAnsiTheme="majorHAnsi" w:eastAsiaTheme="majorEastAsia" w:cstheme="majorBidi"/>
      <w:color w:val="2E75B6" w:themeColor="accent1" w:themeShade="BF"/>
      <w:sz w:val="32"/>
      <w:szCs w:val="32"/>
    </w:rPr>
  </w:style>
  <w:style w:type="character" w:customStyle="1" w:styleId="22">
    <w:name w:val="Heading 2 Char"/>
    <w:basedOn w:val="14"/>
    <w:link w:val="3"/>
    <w:uiPriority w:val="9"/>
    <w:rPr>
      <w:rFonts w:asciiTheme="majorHAnsi" w:hAnsiTheme="majorHAnsi" w:eastAsiaTheme="majorEastAsia" w:cstheme="majorBidi"/>
      <w:color w:val="2E75B6" w:themeColor="accent1" w:themeShade="BF"/>
      <w:sz w:val="26"/>
      <w:szCs w:val="26"/>
    </w:rPr>
  </w:style>
  <w:style w:type="character" w:customStyle="1" w:styleId="23">
    <w:name w:val="Heading 3 Char"/>
    <w:basedOn w:val="14"/>
    <w:link w:val="4"/>
    <w:uiPriority w:val="9"/>
    <w:rPr>
      <w:rFonts w:asciiTheme="majorHAnsi" w:hAnsiTheme="majorHAnsi" w:eastAsiaTheme="majorEastAsia" w:cstheme="majorBidi"/>
      <w:color w:val="1F4E79" w:themeColor="accent1" w:themeShade="80"/>
      <w:sz w:val="24"/>
      <w:szCs w:val="24"/>
    </w:rPr>
  </w:style>
  <w:style w:type="character" w:customStyle="1" w:styleId="24">
    <w:name w:val="Heading 4 Char"/>
    <w:basedOn w:val="14"/>
    <w:link w:val="5"/>
    <w:uiPriority w:val="9"/>
    <w:rPr>
      <w:rFonts w:asciiTheme="majorHAnsi" w:hAnsiTheme="majorHAnsi" w:eastAsiaTheme="majorEastAsia" w:cstheme="majorBidi"/>
      <w:i/>
      <w:iCs/>
      <w:color w:val="2E75B6" w:themeColor="accent1" w:themeShade="BF"/>
    </w:rPr>
  </w:style>
  <w:style w:type="character" w:customStyle="1" w:styleId="25">
    <w:name w:val="Heading 5 Char"/>
    <w:basedOn w:val="14"/>
    <w:link w:val="6"/>
    <w:uiPriority w:val="9"/>
    <w:rPr>
      <w:rFonts w:asciiTheme="majorHAnsi" w:hAnsiTheme="majorHAnsi" w:eastAsiaTheme="majorEastAsia" w:cstheme="majorBidi"/>
      <w:color w:val="2E75B6" w:themeColor="accent1" w:themeShade="BF"/>
    </w:rPr>
  </w:style>
  <w:style w:type="character" w:customStyle="1" w:styleId="26">
    <w:name w:val="Heading 6 Char"/>
    <w:basedOn w:val="14"/>
    <w:link w:val="7"/>
    <w:uiPriority w:val="9"/>
    <w:rPr>
      <w:rFonts w:asciiTheme="majorHAnsi" w:hAnsiTheme="majorHAnsi" w:eastAsiaTheme="majorEastAsia" w:cstheme="majorBidi"/>
      <w:color w:val="1F4E79" w:themeColor="accent1" w:themeShade="80"/>
    </w:rPr>
  </w:style>
  <w:style w:type="character" w:customStyle="1" w:styleId="27">
    <w:name w:val="Heading 7 Char"/>
    <w:basedOn w:val="14"/>
    <w:link w:val="8"/>
    <w:uiPriority w:val="9"/>
    <w:rPr>
      <w:rFonts w:asciiTheme="majorHAnsi" w:hAnsiTheme="majorHAnsi" w:eastAsiaTheme="majorEastAsia" w:cstheme="majorBidi"/>
      <w:i/>
      <w:iCs/>
      <w:color w:val="1F4E79" w:themeColor="accent1" w:themeShade="80"/>
    </w:rPr>
  </w:style>
  <w:style w:type="character" w:customStyle="1" w:styleId="28">
    <w:name w:val="Heading 8 Char"/>
    <w:basedOn w:val="14"/>
    <w:link w:val="9"/>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9">
    <w:name w:val="Heading 9 Char"/>
    <w:basedOn w:val="14"/>
    <w:link w:val="10"/>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0">
    <w:name w:val="Title Char"/>
    <w:basedOn w:val="14"/>
    <w:link w:val="13"/>
    <w:uiPriority w:val="10"/>
    <w:rPr>
      <w:rFonts w:asciiTheme="majorHAnsi" w:hAnsiTheme="majorHAnsi" w:eastAsiaTheme="majorEastAsia" w:cstheme="majorBidi"/>
      <w:spacing w:val="-10"/>
      <w:kern w:val="28"/>
      <w:sz w:val="56"/>
      <w:szCs w:val="56"/>
    </w:rPr>
  </w:style>
  <w:style w:type="character" w:customStyle="1" w:styleId="31">
    <w:name w:val="Subtitle Char"/>
    <w:basedOn w:val="14"/>
    <w:link w:val="12"/>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32">
    <w:name w:val="Subtle Emphasis"/>
    <w:basedOn w:val="14"/>
    <w:qFormat/>
    <w:uiPriority w:val="19"/>
    <w:rPr>
      <w:i/>
      <w:iCs/>
      <w:color w:val="404040" w:themeColor="text1" w:themeTint="BF"/>
      <w14:textFill>
        <w14:solidFill>
          <w14:schemeClr w14:val="tx1">
            <w14:lumMod w14:val="75000"/>
            <w14:lumOff w14:val="25000"/>
          </w14:schemeClr>
        </w14:solidFill>
      </w14:textFill>
    </w:rPr>
  </w:style>
  <w:style w:type="character" w:customStyle="1" w:styleId="33">
    <w:name w:val="Intense Emphasis"/>
    <w:basedOn w:val="14"/>
    <w:qFormat/>
    <w:uiPriority w:val="21"/>
    <w:rPr>
      <w:i/>
      <w:iCs/>
      <w:color w:val="5B9BD5" w:themeColor="accent1"/>
      <w14:textFill>
        <w14:solidFill>
          <w14:schemeClr w14:val="accent1"/>
        </w14:solidFill>
      </w14:textFill>
    </w:rPr>
  </w:style>
  <w:style w:type="paragraph" w:styleId="34">
    <w:name w:val="Quote"/>
    <w:basedOn w:val="1"/>
    <w:next w:val="1"/>
    <w:link w:val="35"/>
    <w:qFormat/>
    <w:uiPriority w:val="29"/>
    <w:pPr>
      <w:spacing w:before="20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Quote Char"/>
    <w:basedOn w:val="14"/>
    <w:link w:val="34"/>
    <w:uiPriority w:val="29"/>
    <w:rPr>
      <w:i/>
      <w:iCs/>
      <w:color w:val="404040" w:themeColor="text1" w:themeTint="BF"/>
      <w14:textFill>
        <w14:solidFill>
          <w14:schemeClr w14:val="tx1">
            <w14:lumMod w14:val="75000"/>
            <w14:lumOff w14:val="25000"/>
          </w14:schemeClr>
        </w14:solidFill>
      </w14:textFill>
    </w:rPr>
  </w:style>
  <w:style w:type="paragraph" w:styleId="36">
    <w:name w:val="Intense Quote"/>
    <w:basedOn w:val="1"/>
    <w:next w:val="1"/>
    <w:link w:val="37"/>
    <w:qFormat/>
    <w:uiPriority w:val="30"/>
    <w:pPr>
      <w:pBdr>
        <w:top w:val="single" w:color="5B9BD5" w:themeColor="accent1" w:sz="4" w:space="10"/>
        <w:bottom w:val="single" w:color="5B9BD5" w:themeColor="accent1" w:sz="4" w:space="10"/>
      </w:pBdr>
      <w:spacing w:before="360" w:after="360"/>
      <w:ind w:left="864" w:right="864"/>
      <w:jc w:val="center"/>
    </w:pPr>
    <w:rPr>
      <w:i/>
      <w:iCs/>
      <w:color w:val="5B9BD5" w:themeColor="accent1"/>
      <w14:textFill>
        <w14:solidFill>
          <w14:schemeClr w14:val="accent1"/>
        </w14:solidFill>
      </w14:textFill>
    </w:rPr>
  </w:style>
  <w:style w:type="character" w:customStyle="1" w:styleId="37">
    <w:name w:val="Intense Quote Char"/>
    <w:basedOn w:val="14"/>
    <w:link w:val="36"/>
    <w:uiPriority w:val="30"/>
    <w:rPr>
      <w:i/>
      <w:iCs/>
      <w:color w:val="5B9BD5" w:themeColor="accent1"/>
      <w14:textFill>
        <w14:solidFill>
          <w14:schemeClr w14:val="accent1"/>
        </w14:solidFill>
      </w14:textFill>
    </w:rPr>
  </w:style>
  <w:style w:type="character" w:customStyle="1" w:styleId="38">
    <w:name w:val="Subtle Reference"/>
    <w:basedOn w:val="1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39">
    <w:name w:val="Intense Reference"/>
    <w:basedOn w:val="14"/>
    <w:qFormat/>
    <w:uiPriority w:val="32"/>
    <w:rPr>
      <w:b/>
      <w:bCs/>
      <w:smallCaps/>
      <w:color w:val="5B9BD5" w:themeColor="accent1"/>
      <w:spacing w:val="5"/>
      <w14:textFill>
        <w14:solidFill>
          <w14:schemeClr w14:val="accent1"/>
        </w14:solidFill>
      </w14:textFill>
    </w:rPr>
  </w:style>
  <w:style w:type="character" w:customStyle="1" w:styleId="40">
    <w:name w:val="Book Title"/>
    <w:basedOn w:val="14"/>
    <w:qFormat/>
    <w:uiPriority w:val="33"/>
    <w:rPr>
      <w:b/>
      <w:bCs/>
      <w:i/>
      <w:iCs/>
      <w:spacing w:val="5"/>
    </w:rPr>
  </w:style>
  <w:style w:type="paragraph" w:styleId="4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1C3C56-10DB-49F7-B061-44D8728D078A}">
  <ds:schemaRefs/>
</ds:datastoreItem>
</file>

<file path=customXml/itemProps3.xml><?xml version="1.0" encoding="utf-8"?>
<ds:datastoreItem xmlns:ds="http://schemas.openxmlformats.org/officeDocument/2006/customXml" ds:itemID="{B8613203-94B4-476F-998F-33FDD370E0CE}">
  <ds:schemaRefs/>
</ds:datastoreItem>
</file>

<file path=docProps/app.xml><?xml version="1.0" encoding="utf-8"?>
<Properties xmlns="http://schemas.openxmlformats.org/officeDocument/2006/extended-properties" xmlns:vt="http://schemas.openxmlformats.org/officeDocument/2006/docPropsVTypes">
  <Template>Single spaced (blank).dotx</Template>
  <Pages>4</Pages>
  <Words>1318</Words>
  <Characters>7647</Characters>
  <Lines>63</Lines>
  <Paragraphs>17</Paragraphs>
  <TotalTime>3289</TotalTime>
  <ScaleCrop>false</ScaleCrop>
  <LinksUpToDate>false</LinksUpToDate>
  <CharactersWithSpaces>8948</CharactersWithSpaces>
  <Application>WPS Office_10.2.0.7516_F1E327BC-269C-435d-A152-05C5408002CA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2018-10-15T18:31:00Z</dcterms:created>
  <dc:creator>Stefan</dc:creator>
  <cp:lastModifiedBy>rebeca.oprea</cp:lastModifiedBy>
  <dcterms:modified xsi:type="dcterms:W3CDTF">2018-10-26T15:00:42Z</dcterms:modified>
  <cp:revision>340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y fmtid="{D5CDD505-2E9C-101B-9397-08002B2CF9AE}" pid="3" name="KSOProductBuildVer">
    <vt:lpwstr>1033-10.2.0.7516</vt:lpwstr>
  </property>
</Properties>
</file>