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b/>
          <w:bCs/>
          <w:color w:val="0E5A69"/>
          <w:spacing w:val="60"/>
          <w:sz w:val="20"/>
          <w:szCs w:val="20"/>
        </w:rPr>
        <w:t xml:space="preserve">SK-001</w:t>
      </w:r>
    </w:p>
    <w:p>
      <w:pPr>
        <w:spacing w:after="100" w:before="160"/>
      </w:pPr>
      <w:r>
        <w:rPr>
          <w:rFonts w:ascii="Arial" w:cs="Arial" w:eastAsia="Arial" w:hAnsi="Arial"/>
          <w:b/>
          <w:bCs/>
          <w:color w:val="1A1A1A"/>
          <w:sz w:val="52"/>
          <w:szCs w:val="52"/>
        </w:rPr>
        <w:t xml:space="preserve">Einspeiseanlagen aus epilot nach SAP</w:t>
      </w:r>
    </w:p>
    <w:p>
      <w:pPr>
        <w:spacing w:after="400"/>
      </w:pPr>
      <w:r>
        <w:rPr>
          <w:rFonts w:ascii="Arial" w:cs="Arial" w:eastAsia="Arial" w:hAnsi="Arial"/>
          <w:color w:val="5A6A73"/>
          <w:sz w:val="26"/>
          <w:szCs w:val="26"/>
        </w:rPr>
        <w:t xml:space="preserve">Schnittstellenkonzept und Entscheidungsvorlage</w:t>
      </w:r>
    </w:p>
    <w:p>
      <w:pPr>
        <w:pBdr>
          <w:top w:val="single" w:color="0E5A69" w:sz="12" w:space="12"/>
        </w:pBdr>
        <w:spacing w:after="60"/>
      </w:pP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400"/>
        <w:gridCol w:w="7238"/>
      </w:tblGrid>
      <w:tr>
        <w:trPr>
          <w:tblHeader/>
        </w:trPr>
        <w:tc>
          <w:tcPr>
            <w:tcW w:type="dxa" w:w="2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Feld</w:t>
            </w:r>
          </w:p>
        </w:tc>
        <w:tc>
          <w:tcPr>
            <w:tcW w:type="dxa" w:w="72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Angabe</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Vorhaben</w:t>
            </w:r>
          </w:p>
        </w:tc>
        <w:tc>
          <w:tcPr>
            <w:tcW w:type="dxa" w:w="7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Einführung epilot als Anmeldeportal für den Netzanschluss von Einspeiseanlagen</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Gegenstand</w:t>
            </w:r>
          </w:p>
        </w:tc>
        <w:tc>
          <w:tcPr>
            <w:tcW w:type="dxa" w:w="7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Übergabe der Stammdaten für die EEG-Abrechnung an SAP — Ablösung der bestehenden Strecke</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Stand</w:t>
            </w:r>
          </w:p>
        </w:tc>
        <w:tc>
          <w:tcPr>
            <w:tcW w:type="dxa" w:w="7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Entwurf 0.6 · 07.09.2026</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Zweck</w:t>
            </w:r>
          </w:p>
        </w:tc>
        <w:tc>
          <w:tcPr>
            <w:tcW w:type="dxa" w:w="7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Interne Abstimmung — Entscheidung zur Werkzeugwahl und zum weiteren Vorgehen</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Erstellt von</w:t>
            </w:r>
          </w:p>
        </w:tc>
        <w:tc>
          <w:tcPr>
            <w:tcW w:type="dxa" w:w="7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Cluster Digitalisierung, Data &amp; AI</w:t>
            </w:r>
          </w:p>
        </w:tc>
      </w:tr>
    </w:tbl>
    <w:p>
      <w:pPr>
        <w:spacing w:after="300"/>
      </w:pPr>
    </w:p>
    <w:p>
      <w:pPr>
        <w:pBdr>
          <w:left w:val="single" w:color="8A5510" w:sz="18" w:space="12"/>
        </w:pBdr>
        <w:spacing w:after="160" w:before="160" w:line="280"/>
        <w:ind w:left="280"/>
      </w:pPr>
      <w:r>
        <w:rPr>
          <w:rFonts w:ascii="Arial" w:cs="Arial" w:eastAsia="Arial" w:hAnsi="Arial"/>
          <w:i/>
          <w:iCs/>
          <w:color w:val="8A5510"/>
          <w:sz w:val="20"/>
          <w:szCs w:val="20"/>
        </w:rPr>
        <w:t xml:space="preserve">Dieses Dokument fasst den Arbeitsstand zusammen. Es enthält getroffene Festlegungen, eine Entscheidungsvorlage zur Werkzeugwahl und die offenen Punkte mit Zuordnung. Aufwandsangaben sind Größenordnungen für die Planung, keine belastbaren Schätzungen.</w:t>
      </w:r>
    </w:p>
    <w:p>
      <w:r>
        <w:br w:type="page"/>
      </w:r>
    </w:p>
    <w:p>
      <w:pPr>
        <w:pStyle w:val="Heading1"/>
        <w:spacing w:after="200" w:before="360"/>
      </w:pPr>
      <w:r>
        <w:rPr>
          <w:rFonts w:ascii="Arial" w:cs="Arial" w:eastAsia="Arial" w:hAnsi="Arial"/>
          <w:b/>
          <w:bCs/>
          <w:color w:val="0E5A69"/>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0E5A69"/>
          <w:sz w:val="30"/>
          <w:szCs w:val="30"/>
        </w:rPr>
        <w:t xml:space="preserve">1  Zusammenfassung</w:t>
      </w:r>
    </w:p>
    <w:p>
      <w:pPr>
        <w:spacing w:after="120" w:line="280"/>
      </w:pPr>
      <w:r>
        <w:rPr>
          <w:rFonts w:ascii="Arial" w:cs="Arial" w:eastAsia="Arial" w:hAnsi="Arial"/>
          <w:color w:val="1A1A1A"/>
          <w:sz w:val="21"/>
          <w:szCs w:val="21"/>
        </w:rPr>
        <w:t xml:space="preserve">Nach bestätigter Inbetriebsetzung einer Einspeiseanlage müssen in SAP die Stammdaten für die EEG-Abrechnung entstehen. SAP liest diese Daten aus einer CSV-Datei auf einem Netzlaufwerk. Diese Datei wird heute bereits </w:t>
      </w:r>
      <w:r>
        <w:rPr>
          <w:rFonts w:ascii="Arial" w:cs="Arial" w:eastAsia="Arial" w:hAnsi="Arial"/>
          <w:b/>
          <w:bCs/>
          <w:color w:val="1A1A1A"/>
          <w:sz w:val="21"/>
          <w:szCs w:val="21"/>
        </w:rPr>
        <w:t xml:space="preserve">automatisiert erzeugt</w:t>
      </w:r>
      <w:r>
        <w:rPr>
          <w:rFonts w:ascii="Arial" w:cs="Arial" w:eastAsia="Arial" w:hAnsi="Arial"/>
          <w:color w:val="1A1A1A"/>
          <w:sz w:val="21"/>
          <w:szCs w:val="21"/>
        </w:rPr>
        <w:t xml:space="preserve"> — ebenso wie die entsprechende Datei für steuerbare Verbrauchseinrichtungen nach § 14a EnWG.</w:t>
      </w:r>
    </w:p>
    <w:p>
      <w:pPr>
        <w:spacing w:after="120" w:line="280"/>
      </w:pPr>
      <w:r>
        <w:rPr>
          <w:rFonts w:ascii="Arial" w:cs="Arial" w:eastAsia="Arial" w:hAnsi="Arial"/>
          <w:color w:val="1A1A1A"/>
          <w:sz w:val="21"/>
          <w:szCs w:val="21"/>
        </w:rPr>
        <w:t xml:space="preserve">Abgelöst wird damit eine produktiv laufende Schnittstelle. Neu ist nicht die Erzeugung, sondern das Quellsystem: Die Formularstrecke wandert vom Altportal nach epilot, und die dahinterliegende Dateierzeugung muss mitwandern. Das Zielformat bleibt unverändert — aus Sicht von SAP ist die Umstellung unsichtbar, und die Abnahme wird zu einem Dateivergleich.</w:t>
      </w:r>
    </w:p>
    <w:p>
      <w:pPr>
        <w:pStyle w:val="Heading3"/>
        <w:spacing w:after="100" w:before="200"/>
      </w:pPr>
      <w:r>
        <w:rPr>
          <w:rFonts w:ascii="Arial" w:cs="Arial" w:eastAsia="Arial" w:hAnsi="Arial"/>
          <w:b/>
          <w:bCs/>
          <w:color w:val="5A6A73"/>
          <w:sz w:val="21"/>
          <w:szCs w:val="21"/>
        </w:rPr>
        <w:t xml:space="preserve">Die drei Kernaussagen</w:t>
      </w:r>
    </w:p>
    <w:p>
      <w:pPr>
        <w:spacing w:after="120" w:line="280"/>
      </w:pPr>
      <w:r>
        <w:rPr>
          <w:rFonts w:ascii="Arial" w:cs="Arial" w:eastAsia="Arial" w:hAnsi="Arial"/>
          <w:b/>
          <w:bCs/>
          <w:color w:val="1A1A1A"/>
          <w:sz w:val="21"/>
          <w:szCs w:val="21"/>
        </w:rPr>
        <w:t xml:space="preserve">Der Auslöser ist die Inbetriebsetzung, nicht die Anmeldung. </w:t>
      </w:r>
      <w:r>
        <w:rPr>
          <w:rFonts w:ascii="Arial" w:cs="Arial" w:eastAsia="Arial" w:hAnsi="Arial"/>
          <w:color w:val="1A1A1A"/>
          <w:sz w:val="21"/>
          <w:szCs w:val="21"/>
        </w:rPr>
        <w:t xml:space="preserve">Anmeldedaten sind keine Abrechnungsdaten: Ein Teil der Anmeldungen wird nie realisiert, und die tatsächlich installierte Leistung weicht häufig vom Antrag ab. Maßgeblich ist der Ist-Stand aus dem Inbetriebsetzungsprotokoll.</w:t>
      </w:r>
    </w:p>
    <w:p>
      <w:pPr>
        <w:spacing w:after="120" w:line="280"/>
      </w:pPr>
      <w:r>
        <w:rPr>
          <w:rFonts w:ascii="Arial" w:cs="Arial" w:eastAsia="Arial" w:hAnsi="Arial"/>
          <w:b/>
          <w:bCs/>
          <w:color w:val="1A1A1A"/>
          <w:sz w:val="21"/>
          <w:szCs w:val="21"/>
        </w:rPr>
        <w:t xml:space="preserve">Die Werkzeugwahl entscheidet sich an der Kodierung der heutigen Datei. </w:t>
      </w:r>
      <w:r>
        <w:rPr>
          <w:rFonts w:ascii="Arial" w:cs="Arial" w:eastAsia="Arial" w:hAnsi="Arial"/>
          <w:color w:val="1A1A1A"/>
          <w:sz w:val="21"/>
          <w:szCs w:val="21"/>
        </w:rPr>
        <w:t xml:space="preserve">Ist sie UTF-8 ohne BOM, genügt Power Automate allein. Ist sie Windows-1252 oder UTF-8 mit BOM, scheidet Power Automate für die Dateierzeugung aus. Zehn Minuten mit einer Originaldatei klären das.</w:t>
      </w:r>
    </w:p>
    <w:p>
      <w:pPr>
        <w:spacing w:after="120" w:line="280"/>
      </w:pPr>
      <w:r>
        <w:rPr>
          <w:rFonts w:ascii="Arial" w:cs="Arial" w:eastAsia="Arial" w:hAnsi="Arial"/>
          <w:b/>
          <w:bCs/>
          <w:color w:val="1A1A1A"/>
          <w:sz w:val="21"/>
          <w:szCs w:val="21"/>
        </w:rPr>
        <w:t xml:space="preserve">Die bestehende Erzeugung ist die Spezifikation. </w:t>
      </w:r>
      <w:r>
        <w:rPr>
          <w:rFonts w:ascii="Arial" w:cs="Arial" w:eastAsia="Arial" w:hAnsi="Arial"/>
          <w:color w:val="1A1A1A"/>
          <w:sz w:val="21"/>
          <w:szCs w:val="21"/>
        </w:rPr>
        <w:t xml:space="preserve">Feldmapping, Transformationsregeln, Wertelisten und Sonderfälle sind implementiert und laufen seit Jahren. Sie sind aus dem Bestand zu übernehmen — aus dem Quellcode und aus produktiven Dateien, nicht aus einer Beschreibung. Der Zugang zu diesem Code ist der wichtigste Einzelschritt des Vorhabens.</w:t>
      </w:r>
    </w:p>
    <w:p>
      <w:pPr>
        <w:pBdr>
          <w:left w:val="single" w:color="0E5A69" w:sz="18" w:space="12"/>
        </w:pBdr>
        <w:spacing w:after="180" w:before="180" w:line="280"/>
        <w:ind w:left="280"/>
      </w:pPr>
      <w:r>
        <w:rPr>
          <w:rFonts w:ascii="Arial" w:cs="Arial" w:eastAsia="Arial" w:hAnsi="Arial"/>
          <w:b/>
          <w:bCs/>
          <w:color w:val="1A1A1A"/>
          <w:sz w:val="21"/>
          <w:szCs w:val="21"/>
        </w:rPr>
        <w:t xml:space="preserve">Entscheidungsbedarf in dieser Runde: Werkzeugwahl (Abschnitt 4), Vorgehen im Parallelbetrieb (Abschnitt 10) und die Frage, ob § 14a und Einspeiser gemeinsam oder getrennt behandelt werden.</w:t>
      </w:r>
    </w:p>
    <w:p>
      <w:pPr>
        <w:spacing w:after="120" w:line="280"/>
      </w:pPr>
      <w:r>
        <w:rPr>
          <w:rFonts w:ascii="Arial" w:cs="Arial" w:eastAsia="Arial" w:hAnsi="Arial"/>
          <w:b/>
          <w:bCs/>
          <w:color w:val="1A1A1A"/>
          <w:sz w:val="21"/>
          <w:szCs w:val="21"/>
        </w:rPr>
        <w:t xml:space="preserve">Maßgeblich für den Termin ist der Abschalttermin des Altportals. </w:t>
      </w:r>
      <w:r>
        <w:rPr>
          <w:rFonts w:ascii="Arial" w:cs="Arial" w:eastAsia="Arial" w:hAnsi="Arial"/>
          <w:color w:val="1A1A1A"/>
          <w:sz w:val="21"/>
          <w:szCs w:val="21"/>
        </w:rPr>
        <w:t xml:space="preserve">Das Vorhaben spart keine Arbeit ein — es hält eine produktive Strecke am Leben. Das ist keine Schwäche der Begründung, sondern ihr Kern.</w:t>
      </w:r>
    </w:p>
    <w:p>
      <w:pPr>
        <w:pStyle w:val="Heading3"/>
        <w:spacing w:after="100" w:before="200"/>
      </w:pPr>
      <w:r>
        <w:rPr>
          <w:rFonts w:ascii="Arial" w:cs="Arial" w:eastAsia="Arial" w:hAnsi="Arial"/>
          <w:b/>
          <w:bCs/>
          <w:color w:val="5A6A73"/>
          <w:sz w:val="21"/>
          <w:szCs w:val="21"/>
        </w:rPr>
        <w:t xml:space="preserve">Stand der Arbeiten</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4400"/>
        <w:gridCol w:w="5238"/>
      </w:tblGrid>
      <w:tr>
        <w:trPr>
          <w:tblHeader/>
        </w:trPr>
        <w:tc>
          <w:tcPr>
            <w:tcW w:type="dxa" w:w="4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Ergebnis</w:t>
            </w:r>
          </w:p>
        </w:tc>
        <w:tc>
          <w:tcPr>
            <w:tcW w:type="dxa" w:w="52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Stand</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Fachliches Konzept</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Entwurf 0.5, Abschnitte 2 bis 9 dieses Dokuments</w:t>
            </w:r>
          </w:p>
        </w:tc>
      </w:tr>
      <w:tr>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Erhebungsmappe für die SAP-Seite</w:t>
            </w:r>
          </w:p>
        </w:tc>
        <w:tc>
          <w:tcPr>
            <w:tcW w:type="dxa" w:w="5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fertig, kann versendet werden</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Export-Job</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lauffähig gegen Testdaten, 22 automatisierte Tests</w:t>
            </w:r>
          </w:p>
        </w:tc>
      </w:tr>
      <w:tr>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epilot-API-Referenz</w:t>
            </w:r>
          </w:p>
        </w:tc>
        <w:tc>
          <w:tcPr>
            <w:tcW w:type="dxa" w:w="5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51 APIs, 1141 Operationen dokumentiert</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Feldmapping</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 — hängt am Erzeugungscode und am Rücklauf der Erhebungsmappe</w:t>
            </w:r>
          </w:p>
        </w:tc>
      </w:tr>
      <w:tr>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Prüfregeln</w:t>
            </w:r>
          </w:p>
        </w:tc>
        <w:tc>
          <w:tcPr>
            <w:tcW w:type="dxa" w:w="5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 — hängen am Zugang zum bestehenden Erzeugungscode</w:t>
            </w:r>
          </w:p>
        </w:tc>
      </w:tr>
    </w:tbl>
    <w:p>
      <w:r>
        <w:br w:type="page"/>
      </w:r>
    </w:p>
    <w:p>
      <w:pPr>
        <w:pStyle w:val="Heading1"/>
        <w:spacing w:after="200" w:before="360"/>
      </w:pPr>
      <w:r>
        <w:rPr>
          <w:rFonts w:ascii="Arial" w:cs="Arial" w:eastAsia="Arial" w:hAnsi="Arial"/>
          <w:b/>
          <w:bCs/>
          <w:color w:val="0E5A69"/>
          <w:sz w:val="30"/>
          <w:szCs w:val="30"/>
        </w:rPr>
        <w:t xml:space="preserve">2  Ausgangslage</w:t>
      </w:r>
    </w:p>
    <w:p>
      <w:pPr>
        <w:pStyle w:val="Heading2"/>
        <w:spacing w:after="140" w:before="280"/>
      </w:pPr>
      <w:r>
        <w:rPr>
          <w:rFonts w:ascii="Arial" w:cs="Arial" w:eastAsia="Arial" w:hAnsi="Arial"/>
          <w:b/>
          <w:bCs/>
          <w:color w:val="1A1A1A"/>
          <w:sz w:val="24"/>
          <w:szCs w:val="24"/>
        </w:rPr>
        <w:t xml:space="preserve">2.1  Der fachliche Prozess</w:t>
      </w:r>
    </w:p>
    <w:p>
      <w:pPr>
        <w:spacing w:after="120" w:line="280"/>
      </w:pPr>
      <w:r>
        <w:rPr>
          <w:rFonts w:ascii="Arial" w:cs="Arial" w:eastAsia="Arial" w:hAnsi="Arial"/>
          <w:color w:val="1A1A1A"/>
          <w:sz w:val="21"/>
          <w:szCs w:val="21"/>
        </w:rPr>
        <w:t xml:space="preserve">Zwischen der Anmeldung im Portal und der Abrechnung in SAP liegt die vollständige Prozesskette des Netzanschlusses:</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3200"/>
        <w:gridCol w:w="3800"/>
        <w:gridCol w:w="2638"/>
      </w:tblGrid>
      <w:tr>
        <w:trPr>
          <w:tblHeader/>
        </w:trPr>
        <w:tc>
          <w:tcPr>
            <w:tcW w:type="dxa" w:w="32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Schritt</w:t>
            </w:r>
          </w:p>
        </w:tc>
        <w:tc>
          <w:tcPr>
            <w:tcW w:type="dxa" w:w="38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Ergebnis</w:t>
            </w:r>
          </w:p>
        </w:tc>
        <w:tc>
          <w:tcPr>
            <w:tcW w:type="dxa" w:w="26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System</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  Anmeldung</w:t>
            </w:r>
          </w:p>
        </w:tc>
        <w:tc>
          <w:tcPr>
            <w:tcW w:type="dxa" w:w="3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Antrag des Betreibers liegt vor</w:t>
            </w:r>
          </w:p>
        </w:tc>
        <w:tc>
          <w:tcPr>
            <w:tcW w:type="dxa" w:w="2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epilot</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2  Netzverträglichkeitsprüfung</w:t>
            </w:r>
          </w:p>
        </w:tc>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technische Machbarkeit geklärt</w:t>
            </w:r>
          </w:p>
        </w:tc>
        <w:tc>
          <w:tcPr>
            <w:tcW w:type="dxa" w:w="2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intern</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3  Anschlusszusage</w:t>
            </w:r>
          </w:p>
        </w:tc>
        <w:tc>
          <w:tcPr>
            <w:tcW w:type="dxa" w:w="3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Zusage erteilt</w:t>
            </w:r>
          </w:p>
        </w:tc>
        <w:tc>
          <w:tcPr>
            <w:tcW w:type="dxa" w:w="2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intern</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4  Errichtung</w:t>
            </w:r>
          </w:p>
        </w:tc>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Anlage gebaut</w:t>
            </w:r>
          </w:p>
        </w:tc>
        <w:tc>
          <w:tcPr>
            <w:tcW w:type="dxa" w:w="2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Elektrofachbetrieb</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5  Inbetriebsetzung</w:t>
            </w:r>
          </w:p>
        </w:tc>
        <w:tc>
          <w:tcPr>
            <w:tcW w:type="dxa" w:w="3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Protokoll und Zählersetzung</w:t>
            </w:r>
          </w:p>
        </w:tc>
        <w:tc>
          <w:tcPr>
            <w:tcW w:type="dxa" w:w="2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intern</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6  Stammdatenanlage</w:t>
            </w:r>
          </w:p>
        </w:tc>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Abrechnung möglich</w:t>
            </w:r>
          </w:p>
        </w:tc>
        <w:tc>
          <w:tcPr>
            <w:tcW w:type="dxa" w:w="2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SAP</w:t>
            </w:r>
          </w:p>
        </w:tc>
      </w:tr>
    </w:tbl>
    <w:p>
      <w:pPr>
        <w:pBdr>
          <w:left w:val="single" w:color="8A5510" w:sz="18" w:space="12"/>
        </w:pBdr>
        <w:spacing w:after="160" w:before="160" w:line="280"/>
        <w:ind w:left="280"/>
      </w:pPr>
      <w:r>
        <w:rPr>
          <w:rFonts w:ascii="Arial" w:cs="Arial" w:eastAsia="Arial" w:hAnsi="Arial"/>
          <w:i/>
          <w:iCs/>
          <w:color w:val="8A5510"/>
          <w:sz w:val="20"/>
          <w:szCs w:val="20"/>
        </w:rPr>
        <w:t xml:space="preserve">Erst mit Schritt 5 entstehen abrechnungsrelevante Daten. Wer die Daten aus Schritt 1 nach SAP überträgt, legt Stammdaten für Anlagen an, die noch nicht existieren — und teils nie existieren werden.</w:t>
      </w:r>
    </w:p>
    <w:p>
      <w:pPr>
        <w:pStyle w:val="Heading2"/>
        <w:spacing w:after="140" w:before="280"/>
      </w:pPr>
      <w:r>
        <w:rPr>
          <w:rFonts w:ascii="Arial" w:cs="Arial" w:eastAsia="Arial" w:hAnsi="Arial"/>
          <w:b/>
          <w:bCs/>
          <w:color w:val="1A1A1A"/>
          <w:sz w:val="24"/>
          <w:szCs w:val="24"/>
        </w:rPr>
        <w:t xml:space="preserve">2.2  Der heutige Ablauf</w:t>
      </w:r>
    </w:p>
    <w:p>
      <w:pPr>
        <w:spacing w:after="120" w:line="280"/>
      </w:pPr>
      <w:r>
        <w:rPr>
          <w:rFonts w:ascii="Arial" w:cs="Arial" w:eastAsia="Arial" w:hAnsi="Arial"/>
          <w:color w:val="1A1A1A"/>
          <w:sz w:val="21"/>
          <w:szCs w:val="21"/>
        </w:rPr>
        <w:t xml:space="preserve">Nach der Inbetriebsetzung erzeugt die bestehende Fachanwendung die CSV-Datei automatisch und legt sie auf dem Netzlaufwerk ab. SAP holt sie von dort ab und importiert sie. Dieselbe Konstruktion existiert für steuerbare Verbrauchseinrichtungen nach § 14a EnWG.</w:t>
      </w:r>
    </w:p>
    <w:p>
      <w:pPr>
        <w:spacing w:after="120" w:line="280"/>
      </w:pPr>
      <w:r>
        <w:rPr>
          <w:rFonts w:ascii="Arial" w:cs="Arial" w:eastAsia="Arial" w:hAnsi="Arial"/>
          <w:color w:val="1A1A1A"/>
          <w:sz w:val="21"/>
          <w:szCs w:val="21"/>
        </w:rPr>
        <w:t xml:space="preserve">Neu ist also nicht die Automatisierung, sondern das Quellsystem: Die Formularstrecke wandert vom Altportal nach epilot. Die dahinterliegende Dateierzeugung muss mitwandern, sonst bricht die Strecke mit der Abschaltung des Altportals weg.</w:t>
      </w:r>
    </w:p>
    <w:p>
      <w:pPr>
        <w:pStyle w:val="Heading2"/>
        <w:spacing w:after="140" w:before="280"/>
      </w:pPr>
      <w:r>
        <w:rPr>
          <w:rFonts w:ascii="Arial" w:cs="Arial" w:eastAsia="Arial" w:hAnsi="Arial"/>
          <w:b/>
          <w:bCs/>
          <w:color w:val="1A1A1A"/>
          <w:sz w:val="24"/>
          <w:szCs w:val="24"/>
        </w:rPr>
        <w:t xml:space="preserve">2.3  Was aus dem Bestand zu erheben ist</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400"/>
        <w:gridCol w:w="5638"/>
        <w:gridCol w:w="1600"/>
      </w:tblGrid>
      <w:tr>
        <w:trPr>
          <w:tblHeader/>
        </w:trPr>
        <w:tc>
          <w:tcPr>
            <w:tcW w:type="dxa" w:w="2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Quelle</w:t>
            </w:r>
          </w:p>
        </w:tc>
        <w:tc>
          <w:tcPr>
            <w:tcW w:type="dxa" w:w="56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Liefert</w:t>
            </w:r>
          </w:p>
        </w:tc>
        <w:tc>
          <w:tcPr>
            <w:tcW w:type="dxa" w:w="16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Rang</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Der Erzeugungscode</w:t>
            </w:r>
          </w:p>
        </w:tc>
        <w:tc>
          <w:tcPr>
            <w:tcW w:type="dxa" w:w="5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Das vollständige Feldmapping einschließlich aller Sonderfälle, die über die Jahre eingebaut wurden.</w:t>
            </w:r>
          </w:p>
        </w:tc>
        <w:tc>
          <w:tcPr>
            <w:tcW w:type="dxa" w:w="16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höchster</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Produktive Dateien</w:t>
            </w:r>
          </w:p>
        </w:tc>
        <w:tc>
          <w:tcPr>
            <w:tcW w:type="dxa" w:w="5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Welche Felder tatsächlich befüllt sind und welche Werte wirklich vorkommen. Gleichzeitig der Referenzsatz für die Abnahme.</w:t>
            </w:r>
          </w:p>
        </w:tc>
        <w:tc>
          <w:tcPr>
            <w:tcW w:type="dxa" w:w="16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hoch</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Betriebserfahrung</w:t>
            </w:r>
          </w:p>
        </w:tc>
        <w:tc>
          <w:tcPr>
            <w:tcW w:type="dxa" w:w="5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Welche Fälle regelmäßig hängenbleiben und wie ein fehlgeschlagener Import bemerkt wird — das steht nicht im Code.</w:t>
            </w:r>
          </w:p>
        </w:tc>
        <w:tc>
          <w:tcPr>
            <w:tcW w:type="dxa" w:w="16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ergänzend</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Gewollte Änderungen</w:t>
            </w:r>
          </w:p>
        </w:tc>
        <w:tc>
          <w:tcPr>
            <w:tcW w:type="dxa" w:w="5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Was an der heutigen Strecke stört. Getrennt zu behandeln: erst gleichwertig ablösen, verbessern danach.</w:t>
            </w:r>
          </w:p>
        </w:tc>
        <w:tc>
          <w:tcPr>
            <w:tcW w:type="dxa" w:w="16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nachgelagert</w:t>
            </w:r>
          </w:p>
        </w:tc>
      </w:tr>
    </w:tbl>
    <w:p>
      <w:pPr>
        <w:pBdr>
          <w:left w:val="single" w:color="0E5A69" w:sz="18" w:space="12"/>
        </w:pBdr>
        <w:spacing w:after="180" w:before="180" w:line="280"/>
        <w:ind w:left="280"/>
      </w:pPr>
      <w:r>
        <w:rPr>
          <w:rFonts w:ascii="Arial" w:cs="Arial" w:eastAsia="Arial" w:hAnsi="Arial"/>
          <w:b/>
          <w:bCs/>
          <w:color w:val="1A1A1A"/>
          <w:sz w:val="21"/>
          <w:szCs w:val="21"/>
        </w:rPr>
        <w:t xml:space="preserve">Der Zugang zum bestehenden Erzeugungscode ist der wichtigste Einzelschritt. Bei gewachsenen Schnittstellen weicht die Dokumentation regelmäßig vom implementierten Stand ab — der Code und die produktiven Dateien sind die Wahrheit.</w:t>
      </w:r>
    </w:p>
    <w:p>
      <w:pPr>
        <w:pStyle w:val="Heading2"/>
        <w:spacing w:after="140" w:before="280"/>
      </w:pPr>
      <w:r>
        <w:rPr>
          <w:rFonts w:ascii="Arial" w:cs="Arial" w:eastAsia="Arial" w:hAnsi="Arial"/>
          <w:b/>
          <w:bCs/>
          <w:color w:val="1A1A1A"/>
          <w:sz w:val="24"/>
          <w:szCs w:val="24"/>
        </w:rPr>
        <w:t xml:space="preserve">2.4  Verhältnis zur § 14a-Strecke</w:t>
      </w:r>
    </w:p>
    <w:p>
      <w:pPr>
        <w:spacing w:after="120" w:line="280"/>
      </w:pPr>
      <w:r>
        <w:rPr>
          <w:rFonts w:ascii="Arial" w:cs="Arial" w:eastAsia="Arial" w:hAnsi="Arial"/>
          <w:color w:val="1A1A1A"/>
          <w:sz w:val="21"/>
          <w:szCs w:val="21"/>
        </w:rPr>
        <w:t xml:space="preserve">Beide Strecken erzeugen eine CSV für SAP, beide hängen an einer Formularstrecke, die nach epilot wandert. Ob dasselbe Dateiformat, derselbe Erzeugungsmechanismus und derselbe Zielprozess in SAP dahinterstehen, ist offen und vorrangig zu klären.</w:t>
      </w:r>
    </w:p>
    <w:p>
      <w:pPr>
        <w:spacing w:after="120" w:line="280"/>
      </w:pPr>
      <w:r>
        <w:rPr>
          <w:rFonts w:ascii="Arial" w:cs="Arial" w:eastAsia="Arial" w:hAnsi="Arial"/>
          <w:color w:val="1A1A1A"/>
          <w:sz w:val="21"/>
          <w:szCs w:val="21"/>
        </w:rPr>
        <w:t xml:space="preserve">Für die technische Umsetzung ist die Antwort weniger kritisch: Der Export-Lauf ist konfigurationsgetrieben gebaut. Zwei Formate bedeuten zwei Konfigurationen, nicht zwei Programme. Für Planung und Reihenfolge ist die Antwort dagegen entscheidend.</w:t>
      </w:r>
    </w:p>
    <w:p>
      <w:r>
        <w:br w:type="page"/>
      </w:r>
    </w:p>
    <w:p>
      <w:pPr>
        <w:pStyle w:val="Heading1"/>
        <w:spacing w:after="200" w:before="360"/>
      </w:pPr>
      <w:r>
        <w:rPr>
          <w:rFonts w:ascii="Arial" w:cs="Arial" w:eastAsia="Arial" w:hAnsi="Arial"/>
          <w:b/>
          <w:bCs/>
          <w:color w:val="0E5A69"/>
          <w:sz w:val="30"/>
          <w:szCs w:val="30"/>
        </w:rPr>
        <w:t xml:space="preserve">3  Getroffene Festlegungen</w:t>
      </w:r>
    </w:p>
    <w:p>
      <w:pPr>
        <w:spacing w:after="120" w:line="280"/>
      </w:pPr>
      <w:r>
        <w:rPr>
          <w:rFonts w:ascii="Arial" w:cs="Arial" w:eastAsia="Arial" w:hAnsi="Arial"/>
          <w:color w:val="1A1A1A"/>
          <w:sz w:val="21"/>
          <w:szCs w:val="21"/>
        </w:rPr>
        <w:t xml:space="preserve">Folgende Punkte sind entschieden und stehen in dieser Runde nicht zur Debatte:</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000"/>
        <w:gridCol w:w="3200"/>
        <w:gridCol w:w="4438"/>
      </w:tblGrid>
      <w:tr>
        <w:trPr>
          <w:tblHeader/>
        </w:trPr>
        <w:tc>
          <w:tcPr>
            <w:tcW w:type="dxa" w:w="20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Punkt</w:t>
            </w:r>
          </w:p>
        </w:tc>
        <w:tc>
          <w:tcPr>
            <w:tcW w:type="dxa" w:w="32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Festlegung</w:t>
            </w:r>
          </w:p>
        </w:tc>
        <w:tc>
          <w:tcPr>
            <w:tcW w:type="dxa" w:w="44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Begründung</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Zielformat</w:t>
            </w:r>
          </w:p>
        </w:tc>
        <w:tc>
          <w:tcPr>
            <w:tcW w:type="dxa" w:w="3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CSV bleibt unverändert</w:t>
            </w:r>
          </w:p>
        </w:tc>
        <w:tc>
          <w:tcPr>
            <w:tcW w:type="dxa" w:w="4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SAP-Seite wird nicht angefasst; geringstes Risiko, kein SAP-Aufwand</w:t>
            </w:r>
          </w:p>
        </w:tc>
      </w:tr>
      <w:tr>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Ablageort</w:t>
            </w:r>
          </w:p>
        </w:tc>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Netzlaufwerk wie bisher</w:t>
            </w:r>
          </w:p>
        </w:tc>
        <w:tc>
          <w:tcPr>
            <w:tcW w:type="dxa" w:w="44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einfachster technischer Weg, keine neue Komponente</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Auslöser</w:t>
            </w:r>
          </w:p>
        </w:tc>
        <w:tc>
          <w:tcPr>
            <w:tcW w:type="dxa" w:w="3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bestätigte Inbetriebsetzung</w:t>
            </w:r>
          </w:p>
        </w:tc>
        <w:tc>
          <w:tcPr>
            <w:tcW w:type="dxa" w:w="4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vorher liegen keine abrechnungsrelevanten Daten vor</w:t>
            </w:r>
          </w:p>
        </w:tc>
      </w:tr>
      <w:tr>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Selektion</w:t>
            </w:r>
          </w:p>
        </w:tc>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über einen Übertragungsstatus am Vorgang</w:t>
            </w:r>
          </w:p>
        </w:tc>
        <w:tc>
          <w:tcPr>
            <w:tcW w:type="dxa" w:w="44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 Zeitraumfilter verliert Nachzügler und erzeugt Dubletten</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Reihenfolge</w:t>
            </w:r>
          </w:p>
        </w:tc>
        <w:tc>
          <w:tcPr>
            <w:tcW w:type="dxa" w:w="3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erst Datei ablegen, dann Status setzen</w:t>
            </w:r>
          </w:p>
        </w:tc>
        <w:tc>
          <w:tcPr>
            <w:tcW w:type="dxa" w:w="4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im Zweifel doppelt statt verloren; Dubletten fängt SAP über die Referenz ab</w:t>
            </w:r>
          </w:p>
        </w:tc>
      </w:tr>
      <w:tr>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Vorgehen</w:t>
            </w:r>
          </w:p>
        </w:tc>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gleichwertig ablösen, Verbesserungen danach</w:t>
            </w:r>
          </w:p>
        </w:tc>
        <w:tc>
          <w:tcPr>
            <w:tcW w:type="dxa" w:w="44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eine Ablösung, die gleichzeitig alles besser macht, wird nicht fertig</w:t>
            </w:r>
          </w:p>
        </w:tc>
      </w:tr>
    </w:tbl>
    <w:p>
      <w:r>
        <w:br w:type="page"/>
      </w:r>
    </w:p>
    <w:p>
      <w:pPr>
        <w:pStyle w:val="Heading1"/>
        <w:spacing w:after="200" w:before="360"/>
      </w:pPr>
      <w:r>
        <w:rPr>
          <w:rFonts w:ascii="Arial" w:cs="Arial" w:eastAsia="Arial" w:hAnsi="Arial"/>
          <w:b/>
          <w:bCs/>
          <w:color w:val="0E5A69"/>
          <w:sz w:val="30"/>
          <w:szCs w:val="30"/>
        </w:rPr>
        <w:t xml:space="preserve">4  Entscheidungsvorlage: Werkzeugwahl</w:t>
      </w:r>
    </w:p>
    <w:p>
      <w:pPr>
        <w:spacing w:after="120" w:line="280"/>
      </w:pPr>
      <w:r>
        <w:rPr>
          <w:rFonts w:ascii="Arial" w:cs="Arial" w:eastAsia="Arial" w:hAnsi="Arial"/>
          <w:color w:val="1A1A1A"/>
          <w:sz w:val="21"/>
          <w:szCs w:val="21"/>
        </w:rPr>
        <w:t xml:space="preserve">epilot läuft als Software-as-a-Service und kann nicht selbst auf ein internes Netzlaufwerk schreiben. Zwischen epilot und dem Ablageort wird eine Komponente benötigt. Zur Verfügung stehen Power Automate und Databricks on Azure.</w:t>
      </w:r>
    </w:p>
    <w:p>
      <w:pPr>
        <w:pStyle w:val="Heading2"/>
        <w:spacing w:after="140" w:before="280"/>
      </w:pPr>
      <w:r>
        <w:rPr>
          <w:rFonts w:ascii="Arial" w:cs="Arial" w:eastAsia="Arial" w:hAnsi="Arial"/>
          <w:b/>
          <w:bCs/>
          <w:color w:val="1A1A1A"/>
          <w:sz w:val="24"/>
          <w:szCs w:val="24"/>
        </w:rPr>
        <w:t xml:space="preserve">4.1  Gegenüberstellung</w:t>
      </w:r>
    </w:p>
    <w:p>
      <w:pPr>
        <w:spacing w:after="120" w:line="280"/>
      </w:pPr>
      <w:r>
        <w:rPr>
          <w:rFonts w:ascii="Arial" w:cs="Arial" w:eastAsia="Arial" w:hAnsi="Arial"/>
          <w:color w:val="1A1A1A"/>
          <w:sz w:val="21"/>
          <w:szCs w:val="21"/>
        </w:rPr>
        <w:t xml:space="preserve">Beide Werkzeuge haben für diesen Anwendungsfall genau eine Schwachstelle — und es sind die jeweils gegensätzlichen.</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400"/>
        <w:gridCol w:w="3619"/>
        <w:gridCol w:w="3619"/>
      </w:tblGrid>
      <w:tr>
        <w:trPr>
          <w:tblHeader/>
        </w:trPr>
        <w:tc>
          <w:tcPr>
            <w:tcW w:type="dxa" w:w="2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Kriterium</w:t>
            </w:r>
          </w:p>
        </w:tc>
        <w:tc>
          <w:tcPr>
            <w:tcW w:type="dxa" w:w="3619"/>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Power Automate</w:t>
            </w:r>
          </w:p>
        </w:tc>
        <w:tc>
          <w:tcPr>
            <w:tcW w:type="dxa" w:w="3619"/>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Databricks on Azure</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Erreicht das Netzlaufwerk</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ja — über den On-Premises Data Gateway, genau dafür gebaut</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nein — schreibt nach Blob/ADLS; SMB erfordert einen zweiten Schritt</w:t>
            </w:r>
          </w:p>
        </w:tc>
      </w:tr>
      <w:tr>
        <w:tc>
          <w:tcPr>
            <w:tcW w:type="dxa" w:w="24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Byte-genaue Dateierzeugung</w:t>
            </w:r>
          </w:p>
        </w:tc>
        <w:tc>
          <w:tcPr>
            <w:tcW w:type="dxa" w:w="3619"/>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schwach — schreibt UTF-8; Kodierung, BOM und Zeilenenden nur über fragile Umwege</w:t>
            </w:r>
          </w:p>
        </w:tc>
        <w:tc>
          <w:tcPr>
            <w:tcW w:type="dxa" w:w="3619"/>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vollständige Kontrolle über Kodierung, Trennzeichen, Maskierung, Zeilenende</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Prüfregeln aus dem Gespräch</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 einer Oberfläche zusammengeklickt, ab mittlerer Komplexität schlecht wartbar</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normaler Programmcode, testbar und versioniert</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Angemessenheit</w:t>
            </w:r>
          </w:p>
        </w:tc>
        <w:tc>
          <w:tcPr>
            <w:tcW w:type="dxa" w:w="3619"/>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passend für einen kleinen Lauf</w:t>
            </w:r>
          </w:p>
        </w:tc>
        <w:tc>
          <w:tcPr>
            <w:tcW w:type="dxa" w:w="3619"/>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überdimensioniert für eine dreistellige Zeilenzahl</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Laufende Kosten</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Lizenz — der HTTP-Konnektor ist Premium</w:t>
            </w:r>
          </w:p>
        </w:tc>
        <w:tc>
          <w:tcPr>
            <w:tcW w:type="dxa" w:w="3619"/>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Cluster-Laufzeit je Lauf</w:t>
            </w:r>
          </w:p>
        </w:tc>
      </w:tr>
    </w:tbl>
    <w:p>
      <w:pPr>
        <w:pStyle w:val="Heading2"/>
        <w:spacing w:after="140" w:before="280"/>
      </w:pPr>
      <w:r>
        <w:rPr>
          <w:rFonts w:ascii="Arial" w:cs="Arial" w:eastAsia="Arial" w:hAnsi="Arial"/>
          <w:b/>
          <w:bCs/>
          <w:color w:val="1A1A1A"/>
          <w:sz w:val="24"/>
          <w:szCs w:val="24"/>
        </w:rPr>
        <w:t xml:space="preserve">4.2  Die Entscheidungsregel</w:t>
      </w:r>
    </w:p>
    <w:p>
      <w:pPr>
        <w:pBdr>
          <w:left w:val="single" w:color="0E5A69" w:sz="18" w:space="12"/>
        </w:pBdr>
        <w:spacing w:after="180" w:before="180" w:line="280"/>
        <w:ind w:left="280"/>
      </w:pPr>
      <w:r>
        <w:rPr>
          <w:rFonts w:ascii="Arial" w:cs="Arial" w:eastAsia="Arial" w:hAnsi="Arial"/>
          <w:b/>
          <w:bCs/>
          <w:color w:val="1A1A1A"/>
          <w:sz w:val="21"/>
          <w:szCs w:val="21"/>
        </w:rPr>
        <w:t xml:space="preserve">Die Entscheidung hängt an der Zeichenkodierung der heutigen Datei — nicht an einer Werkzeugpräferenz.</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3400"/>
        <w:gridCol w:w="6238"/>
      </w:tblGrid>
      <w:tr>
        <w:trPr>
          <w:tblHeader/>
        </w:trPr>
        <w:tc>
          <w:tcPr>
            <w:tcW w:type="dxa" w:w="3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Kodierung der Originaldatei</w:t>
            </w:r>
          </w:p>
        </w:tc>
        <w:tc>
          <w:tcPr>
            <w:tcW w:type="dxa" w:w="62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Konsequenz</w:t>
            </w:r>
          </w:p>
        </w:tc>
      </w:tr>
      <w:tr>
        <w:tc>
          <w:tcPr>
            <w:tcW w:type="dxa" w:w="3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UTF-8 ohne BOM</w:t>
            </w:r>
          </w:p>
        </w:tc>
        <w:tc>
          <w:tcPr>
            <w:tcW w:type="dxa" w:w="6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Power Automate allein genügt. Eine Komponente, kein Bruch, geringster Aufwand.</w:t>
            </w:r>
          </w:p>
        </w:tc>
      </w:tr>
      <w:tr>
        <w:tc>
          <w:tcPr>
            <w:tcW w:type="dxa" w:w="34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Windows-1252 · ISO-8859-1 · UTF-8 mit BOM</w:t>
            </w:r>
          </w:p>
        </w:tc>
        <w:tc>
          <w:tcPr>
            <w:tcW w:type="dxa" w:w="62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Power Automate scheidet für die Erzeugung aus. Das Ergebnis wirkt in der Vorschau korrekt und zerlegt in SAP jeden Umlaut in Namen und Straßennamen.</w:t>
            </w:r>
          </w:p>
        </w:tc>
      </w:tr>
    </w:tbl>
    <w:p>
      <w:pPr>
        <w:pBdr>
          <w:left w:val="single" w:color="8A5510" w:sz="18" w:space="12"/>
        </w:pBdr>
        <w:spacing w:after="160" w:before="160" w:line="280"/>
        <w:ind w:left="280"/>
      </w:pPr>
      <w:r>
        <w:rPr>
          <w:rFonts w:ascii="Arial" w:cs="Arial" w:eastAsia="Arial" w:hAnsi="Arial"/>
          <w:i/>
          <w:iCs/>
          <w:color w:val="8A5510"/>
          <w:sz w:val="20"/>
          <w:szCs w:val="20"/>
        </w:rPr>
        <w:t xml:space="preserve">Deutsche SAP-Umfelder mit gewachsenen Dateiimporten liegen erfahrungsgemäß häufiger im zweiten Fall. Zuverlässig klären lässt sich das nur an einer echten Originaldatei — ein Aufwand von etwa zehn Minuten, der vor der Werkzeugentscheidung stehen sollte.</w:t>
      </w:r>
    </w:p>
    <w:p>
      <w:pPr>
        <w:pStyle w:val="Heading2"/>
        <w:spacing w:after="140" w:before="280"/>
      </w:pPr>
      <w:r>
        <w:rPr>
          <w:rFonts w:ascii="Arial" w:cs="Arial" w:eastAsia="Arial" w:hAnsi="Arial"/>
          <w:b/>
          <w:bCs/>
          <w:color w:val="1A1A1A"/>
          <w:sz w:val="24"/>
          <w:szCs w:val="24"/>
        </w:rPr>
        <w:t xml:space="preserve">4.3  Empfehlung</w:t>
      </w:r>
    </w:p>
    <w:p>
      <w:pPr>
        <w:spacing w:after="120" w:line="280"/>
      </w:pPr>
      <w:r>
        <w:rPr>
          <w:rFonts w:ascii="Arial" w:cs="Arial" w:eastAsia="Arial" w:hAnsi="Arial"/>
          <w:b/>
          <w:bCs/>
          <w:color w:val="1A1A1A"/>
          <w:sz w:val="21"/>
          <w:szCs w:val="21"/>
        </w:rPr>
        <w:t xml:space="preserve">Arbeitsteilung: Databricks erzeugt die Datei, Power Automate stellt sie zu.</w:t>
      </w:r>
    </w:p>
    <w:p>
      <w:pPr>
        <w:spacing w:after="120" w:line="280"/>
      </w:pPr>
      <w:r>
        <w:rPr>
          <w:rFonts w:ascii="Arial" w:cs="Arial" w:eastAsia="Arial" w:hAnsi="Arial"/>
          <w:color w:val="1A1A1A"/>
          <w:sz w:val="21"/>
          <w:szCs w:val="21"/>
        </w:rPr>
        <w:t xml:space="preserve">Diese Aufteilung trägt unabhängig vom Ausgang der Kodierungsfrage und lässt sich später auf eine Komponente zusammenziehen, falls sich die einfache Variante bestätigt. Jedes Werkzeug übernimmt das, worin es stark ist.</w:t>
      </w:r>
    </w:p>
    <w:p>
      <w:pPr>
        <w:pStyle w:val="Heading3"/>
        <w:spacing w:after="100" w:before="200"/>
      </w:pPr>
      <w:r>
        <w:rPr>
          <w:rFonts w:ascii="Arial" w:cs="Arial" w:eastAsia="Arial" w:hAnsi="Arial"/>
          <w:b/>
          <w:bCs/>
          <w:color w:val="5A6A73"/>
          <w:sz w:val="21"/>
          <w:szCs w:val="21"/>
        </w:rPr>
        <w:t xml:space="preserve">Drei Gründe für Databricks bei der Erzeugung</w:t>
      </w:r>
    </w:p>
    <w:p>
      <w:pPr>
        <w:pStyle w:val="ListParagraph"/>
        <w:numPr>
          <w:ilvl w:val="0"/>
          <w:numId w:val="2"/>
        </w:numPr>
        <w:spacing w:after="80" w:line="280"/>
      </w:pPr>
      <w:r>
        <w:rPr>
          <w:rFonts w:ascii="Arial" w:cs="Arial" w:eastAsia="Arial" w:hAnsi="Arial"/>
          <w:b/>
          <w:bCs/>
          <w:color w:val="1A1A1A"/>
          <w:sz w:val="21"/>
          <w:szCs w:val="21"/>
        </w:rPr>
        <w:t xml:space="preserve">Das Dateiformat ist die harte Anforderung. </w:t>
      </w:r>
      <w:r>
        <w:rPr>
          <w:rFonts w:ascii="Arial" w:cs="Arial" w:eastAsia="Arial" w:hAnsi="Arial"/>
          <w:color w:val="1A1A1A"/>
          <w:sz w:val="21"/>
          <w:szCs w:val="21"/>
        </w:rPr>
        <w:t xml:space="preserve">SAP nimmt die Datei oder nicht — vollständige Kontrolle darüber ist nicht verhandelbar.</w:t>
      </w:r>
    </w:p>
    <w:p>
      <w:pPr>
        <w:pStyle w:val="ListParagraph"/>
        <w:numPr>
          <w:ilvl w:val="0"/>
          <w:numId w:val="2"/>
        </w:numPr>
        <w:spacing w:after="80" w:line="280"/>
      </w:pPr>
      <w:r>
        <w:rPr>
          <w:rFonts w:ascii="Arial" w:cs="Arial" w:eastAsia="Arial" w:hAnsi="Arial"/>
          <w:b/>
          <w:bCs/>
          <w:color w:val="1A1A1A"/>
          <w:sz w:val="21"/>
          <w:szCs w:val="21"/>
        </w:rPr>
        <w:t xml:space="preserve">Die Prüfregeln werden echter Programmcode. </w:t>
      </w:r>
      <w:r>
        <w:rPr>
          <w:rFonts w:ascii="Arial" w:cs="Arial" w:eastAsia="Arial" w:hAnsi="Arial"/>
          <w:color w:val="1A1A1A"/>
          <w:sz w:val="21"/>
          <w:szCs w:val="21"/>
        </w:rPr>
        <w:t xml:space="preserve">Was aus dem Gespräch mit der Sachbearbeitung kommt, ist Logik mit Sonderfällen.</w:t>
      </w:r>
    </w:p>
    <w:p>
      <w:pPr>
        <w:pStyle w:val="ListParagraph"/>
        <w:numPr>
          <w:ilvl w:val="0"/>
          <w:numId w:val="2"/>
        </w:numPr>
        <w:spacing w:after="80" w:line="280"/>
      </w:pPr>
      <w:r>
        <w:rPr>
          <w:rFonts w:ascii="Arial" w:cs="Arial" w:eastAsia="Arial" w:hAnsi="Arial"/>
          <w:b/>
          <w:bCs/>
          <w:color w:val="1A1A1A"/>
          <w:sz w:val="21"/>
          <w:szCs w:val="21"/>
        </w:rPr>
        <w:t xml:space="preserve">Die Strecke liefert Vergütungsgrundlagen. </w:t>
      </w:r>
      <w:r>
        <w:rPr>
          <w:rFonts w:ascii="Arial" w:cs="Arial" w:eastAsia="Arial" w:hAnsi="Arial"/>
          <w:color w:val="1A1A1A"/>
          <w:sz w:val="21"/>
          <w:szCs w:val="21"/>
        </w:rPr>
        <w:t xml:space="preserve">Das Inbetriebnahmedatum bestimmt den Satz über die gesamte Förderdauer. Versionierung, Review und automatisierte Tests sind hier keine Kür.</w:t>
      </w:r>
    </w:p>
    <w:p>
      <w:pPr>
        <w:pBdr>
          <w:left w:val="single" w:color="5A6A73" w:sz="18" w:space="12"/>
        </w:pBdr>
        <w:spacing w:after="160" w:before="160" w:line="280"/>
        <w:ind w:left="280"/>
      </w:pPr>
      <w:r>
        <w:rPr>
          <w:rFonts w:ascii="Arial" w:cs="Arial" w:eastAsia="Arial" w:hAnsi="Arial"/>
          <w:i/>
          <w:iCs/>
          <w:color w:val="5A6A73"/>
          <w:sz w:val="20"/>
          <w:szCs w:val="20"/>
        </w:rPr>
        <w:t xml:space="preserve">Einwand zur Vollständigkeit: Databricks ist für diese Datenmenge überdimensioniert. Das ist vertretbar, wenn die Plattform ohnehin betrieben wird — dann ist der Grenzaufwand ein Job mehr. Andernfalls ist eine Azure Function das passendere Werkzeug für dieselbe Rolle; die Architektur bleibt identisch.</w:t>
      </w:r>
    </w:p>
    <w:p>
      <w:r>
        <w:br w:type="page"/>
      </w:r>
    </w:p>
    <w:p>
      <w:pPr>
        <w:pStyle w:val="Heading1"/>
        <w:spacing w:after="200" w:before="360"/>
      </w:pPr>
      <w:r>
        <w:rPr>
          <w:rFonts w:ascii="Arial" w:cs="Arial" w:eastAsia="Arial" w:hAnsi="Arial"/>
          <w:b/>
          <w:bCs/>
          <w:color w:val="0E5A69"/>
          <w:sz w:val="30"/>
          <w:szCs w:val="30"/>
        </w:rPr>
        <w:t xml:space="preserve">5  Architektur</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000"/>
        <w:gridCol w:w="2800"/>
        <w:gridCol w:w="4838"/>
      </w:tblGrid>
      <w:tr>
        <w:trPr>
          <w:tblHeader/>
        </w:trPr>
        <w:tc>
          <w:tcPr>
            <w:tcW w:type="dxa" w:w="20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Stufe</w:t>
            </w:r>
          </w:p>
        </w:tc>
        <w:tc>
          <w:tcPr>
            <w:tcW w:type="dxa" w:w="28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Komponente</w:t>
            </w:r>
          </w:p>
        </w:tc>
        <w:tc>
          <w:tcPr>
            <w:tcW w:type="dxa" w:w="48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Aufgabe</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  Quelle</w:t>
            </w:r>
          </w:p>
        </w:tc>
        <w:tc>
          <w:tcPr>
            <w:tcW w:type="dxa" w:w="2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epilot</w:t>
            </w:r>
          </w:p>
        </w:tc>
        <w:tc>
          <w:tcPr>
            <w:tcW w:type="dxa" w:w="4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Vorgänge mit Status „bereit, nicht übertragen“</w:t>
            </w:r>
          </w:p>
        </w:tc>
      </w:tr>
      <w:tr>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2  Erzeugung</w:t>
            </w:r>
          </w:p>
        </w:tc>
        <w:tc>
          <w:tcPr>
            <w:tcW w:type="dxa" w:w="2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Databricks Job</w:t>
            </w:r>
          </w:p>
        </w:tc>
        <w:tc>
          <w:tcPr>
            <w:tcW w:type="dxa" w:w="4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Abruf über HTTPS, Prüfregeln, byte-genaue CSV</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3  Zwischenablage</w:t>
            </w:r>
          </w:p>
        </w:tc>
        <w:tc>
          <w:tcPr>
            <w:tcW w:type="dxa" w:w="2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Blob / ADLS</w:t>
            </w:r>
          </w:p>
        </w:tc>
        <w:tc>
          <w:tcPr>
            <w:tcW w:type="dxa" w:w="4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fertige Datei</w:t>
            </w:r>
          </w:p>
        </w:tc>
      </w:tr>
      <w:tr>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4  Zustellung</w:t>
            </w:r>
          </w:p>
        </w:tc>
        <w:tc>
          <w:tcPr>
            <w:tcW w:type="dxa" w:w="2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Power Automate</w:t>
            </w:r>
          </w:p>
        </w:tc>
        <w:tc>
          <w:tcPr>
            <w:tcW w:type="dxa" w:w="4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Data Gateway, Kopie mit atomarer Umbenennung</w:t>
            </w:r>
          </w:p>
        </w:tc>
      </w:tr>
      <w:tr>
        <w:tc>
          <w:tcPr>
            <w:tcW w:type="dxa" w:w="2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5  Ziel</w:t>
            </w:r>
          </w:p>
        </w:tc>
        <w:tc>
          <w:tcPr>
            <w:tcW w:type="dxa" w:w="2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Netzlaufwerk → SAP</w:t>
            </w:r>
          </w:p>
        </w:tc>
        <w:tc>
          <w:tcPr>
            <w:tcW w:type="dxa" w:w="4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unverändert</w:t>
            </w:r>
          </w:p>
        </w:tc>
      </w:tr>
    </w:tbl>
    <w:p>
      <w:pPr>
        <w:pBdr>
          <w:left w:val="single" w:color="0E5A69" w:sz="18" w:space="12"/>
        </w:pBdr>
        <w:spacing w:after="180" w:before="180" w:line="280"/>
        <w:ind w:left="280"/>
      </w:pPr>
      <w:r>
        <w:rPr>
          <w:rFonts w:ascii="Arial" w:cs="Arial" w:eastAsia="Arial" w:hAnsi="Arial"/>
          <w:b/>
          <w:bCs/>
          <w:color w:val="1A1A1A"/>
          <w:sz w:val="21"/>
          <w:szCs w:val="21"/>
        </w:rPr>
        <w:t xml:space="preserve">Nach außen wird ausschließlich ausgehendes HTTPS benötigt. Keine eingehende Freigabe ins interne Netz, keine Änderung auf der SAP-Seite.</w:t>
      </w:r>
    </w:p>
    <w:p>
      <w:pPr>
        <w:spacing w:after="120" w:line="280"/>
      </w:pPr>
      <w:r>
        <w:rPr>
          <w:rFonts w:ascii="Arial" w:cs="Arial" w:eastAsia="Arial" w:hAnsi="Arial"/>
          <w:color w:val="1A1A1A"/>
          <w:sz w:val="21"/>
          <w:szCs w:val="21"/>
        </w:rPr>
        <w:t xml:space="preserve">Das ist der ausschlaggebende Vorteil gegenüber einem Push-Verfahren: Ein aus dem Internet erreichbarer Endpunkt im internen Netz wäre ein Sicherheitsvorgang mit eigener Freigabekette und entsprechender Laufzeit. Zudem ist ein abrufender Lauf von sich aus wiederholbar — bei einer Dateischnittstelle ohne Rückkanal die wichtigere Eigenschaft.</w:t>
      </w:r>
    </w:p>
    <w:p>
      <w:pPr>
        <w:pStyle w:val="Heading2"/>
        <w:spacing w:after="140" w:before="280"/>
      </w:pPr>
      <w:r>
        <w:rPr>
          <w:rFonts w:ascii="Arial" w:cs="Arial" w:eastAsia="Arial" w:hAnsi="Arial"/>
          <w:b/>
          <w:bCs/>
          <w:color w:val="1A1A1A"/>
          <w:sz w:val="24"/>
          <w:szCs w:val="24"/>
        </w:rPr>
        <w:t xml:space="preserve">5.1  Zugangsdaten</w:t>
      </w:r>
    </w:p>
    <w:p>
      <w:pPr>
        <w:spacing w:after="120" w:line="280"/>
      </w:pPr>
      <w:r>
        <w:rPr>
          <w:rFonts w:ascii="Arial" w:cs="Arial" w:eastAsia="Arial" w:hAnsi="Arial"/>
          <w:color w:val="1A1A1A"/>
          <w:sz w:val="21"/>
          <w:szCs w:val="21"/>
        </w:rPr>
        <w:t xml:space="preserve">Der Zugriff auf epilot erfolgt über einen Access Token vom Typ „api“ mit eng gefasster Rollenzuweisung. Der Token gehört in den Azure Key Vault — nicht in ein Notebook, nicht in eine Konfigurationsdatei und nicht in das Repository. Die Erneuerung vor Ablauf ist einzuplanen.</w:t>
      </w:r>
    </w:p>
    <w:p>
      <w:r>
        <w:br w:type="page"/>
      </w:r>
    </w:p>
    <w:p>
      <w:pPr>
        <w:pStyle w:val="Heading1"/>
        <w:spacing w:after="200" w:before="360"/>
      </w:pPr>
      <w:r>
        <w:rPr>
          <w:rFonts w:ascii="Arial" w:cs="Arial" w:eastAsia="Arial" w:hAnsi="Arial"/>
          <w:b/>
          <w:bCs/>
          <w:color w:val="0E5A69"/>
          <w:sz w:val="30"/>
          <w:szCs w:val="30"/>
        </w:rPr>
        <w:t xml:space="preserve">6  Datenseite</w:t>
      </w:r>
    </w:p>
    <w:p>
      <w:pPr>
        <w:pStyle w:val="Heading2"/>
        <w:spacing w:after="140" w:before="280"/>
      </w:pPr>
      <w:r>
        <w:rPr>
          <w:rFonts w:ascii="Arial" w:cs="Arial" w:eastAsia="Arial" w:hAnsi="Arial"/>
          <w:b/>
          <w:bCs/>
          <w:color w:val="1A1A1A"/>
          <w:sz w:val="24"/>
          <w:szCs w:val="24"/>
        </w:rPr>
        <w:t xml:space="preserve">6.1  Was ein epilot-Vorgang liefert</w:t>
      </w:r>
    </w:p>
    <w:p>
      <w:pPr>
        <w:spacing w:after="120" w:line="280"/>
      </w:pPr>
      <w:r>
        <w:rPr>
          <w:rFonts w:ascii="Arial" w:cs="Arial" w:eastAsia="Arial" w:hAnsi="Arial"/>
          <w:color w:val="1A1A1A"/>
          <w:sz w:val="21"/>
          <w:szCs w:val="21"/>
        </w:rPr>
        <w:t xml:space="preserve">Jeder Vorgang ist eine Entity mit Systemfeldern und den Attributen des jeweiligen Schemas. Für die Abbildung in eine CSV zerfallen die Attributtypen in drei Klassen:</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400"/>
        <w:gridCol w:w="3800"/>
        <w:gridCol w:w="3438"/>
      </w:tblGrid>
      <w:tr>
        <w:trPr>
          <w:tblHeader/>
        </w:trPr>
        <w:tc>
          <w:tcPr>
            <w:tcW w:type="dxa" w:w="2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Klasse</w:t>
            </w:r>
          </w:p>
        </w:tc>
        <w:tc>
          <w:tcPr>
            <w:tcW w:type="dxa" w:w="38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Typen</w:t>
            </w:r>
          </w:p>
        </w:tc>
        <w:tc>
          <w:tcPr>
            <w:tcW w:type="dxa" w:w="34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Behandlung</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Direkt übernehmbar</w:t>
            </w:r>
          </w:p>
        </w:tc>
        <w:tc>
          <w:tcPr>
            <w:tcW w:type="dxa" w:w="3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Text, Zahl, Ja/Nein, Datum, E-Mail, Telefon, Land, Währung, Nummernkreis, Auswahl, Status</w:t>
            </w:r>
          </w:p>
        </w:tc>
        <w:tc>
          <w:tcPr>
            <w:tcW w:type="dxa" w:w="3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eine Zelle je Attribut</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Zusammengesetzt</w:t>
            </w:r>
          </w:p>
        </w:tc>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Adresse (Straße, Hausnummer, PLZ, Ort, Land), Zahlungsdaten</w:t>
            </w:r>
          </w:p>
        </w:tc>
        <w:tc>
          <w:tcPr>
            <w:tcW w:type="dxa" w:w="34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wird zu mehreren Spalten; bei Adressen ist der erste Eintrag der maßgebliche</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Mehrwertig oder verweisend</w:t>
            </w:r>
          </w:p>
        </w:tc>
        <w:tc>
          <w:tcPr>
            <w:tcW w:type="dxa" w:w="38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Mehrfachauswahl, Schlagworte, Tabellen, Dateien, Beziehungen</w:t>
            </w:r>
          </w:p>
        </w:tc>
        <w:tc>
          <w:tcPr>
            <w:tcW w:type="dxa" w:w="3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erfordert eine Festlegung; Beziehungen liefern nur die Kennung des verknüpften Datensatzes</w:t>
            </w:r>
          </w:p>
        </w:tc>
      </w:tr>
    </w:tbl>
    <w:p>
      <w:pPr>
        <w:pBdr>
          <w:left w:val="single" w:color="8A5510" w:sz="18" w:space="12"/>
        </w:pBdr>
        <w:spacing w:after="160" w:before="160" w:line="280"/>
        <w:ind w:left="280"/>
      </w:pPr>
      <w:r>
        <w:rPr>
          <w:rFonts w:ascii="Arial" w:cs="Arial" w:eastAsia="Arial" w:hAnsi="Arial"/>
          <w:i/>
          <w:iCs/>
          <w:color w:val="8A5510"/>
          <w:sz w:val="20"/>
          <w:szCs w:val="20"/>
        </w:rPr>
        <w:t xml:space="preserve">Praktische Folge: Ist der Anlagenbetreiber als eigener Datensatz verknüpft, wird sein Name beim Abruf des Vorgangs nicht mitgeliefert. Der Lauf muss den verknüpften Datensatz zusätzlich auflösen. Das ist kein Hindernis, gehört aber in die Aufwandsbetrachtung.</w:t>
      </w:r>
    </w:p>
    <w:p>
      <w:pPr>
        <w:pStyle w:val="Heading2"/>
        <w:spacing w:after="140" w:before="280"/>
      </w:pPr>
      <w:r>
        <w:rPr>
          <w:rFonts w:ascii="Arial" w:cs="Arial" w:eastAsia="Arial" w:hAnsi="Arial"/>
          <w:b/>
          <w:bCs/>
          <w:color w:val="1A1A1A"/>
          <w:sz w:val="24"/>
          <w:szCs w:val="24"/>
        </w:rPr>
        <w:t xml:space="preserve">6.2  Rechtlich kritische Felder</w:t>
      </w:r>
    </w:p>
    <w:p>
      <w:pPr>
        <w:spacing w:after="120" w:line="280"/>
      </w:pPr>
      <w:r>
        <w:rPr>
          <w:rFonts w:ascii="Arial" w:cs="Arial" w:eastAsia="Arial" w:hAnsi="Arial"/>
          <w:color w:val="1A1A1A"/>
          <w:sz w:val="21"/>
          <w:szCs w:val="21"/>
        </w:rPr>
        <w:t xml:space="preserve">Bei diesen Feldern ist ein Übertragungsfehler kein Schönheitsfehler, sondern ein Fall für die Nachberechnung:</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600"/>
        <w:gridCol w:w="7038"/>
      </w:tblGrid>
      <w:tr>
        <w:trPr>
          <w:tblHeader/>
        </w:trPr>
        <w:tc>
          <w:tcPr>
            <w:tcW w:type="dxa" w:w="26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Feld</w:t>
            </w:r>
          </w:p>
        </w:tc>
        <w:tc>
          <w:tcPr>
            <w:tcW w:type="dxa" w:w="70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Bedeutung</w:t>
            </w:r>
          </w:p>
        </w:tc>
      </w:tr>
      <w:tr>
        <w:tc>
          <w:tcPr>
            <w:tcW w:type="dxa" w:w="26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Inbetriebnahmedatum</w:t>
            </w:r>
          </w:p>
        </w:tc>
        <w:tc>
          <w:tcPr>
            <w:tcW w:type="dxa" w:w="70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Bestimmt den Vergütungssatz für die gesamte Förderdauer. Muss dem Inbetriebsetzungs­protokoll entsprechen, nicht dem Antragsdatum.</w:t>
            </w:r>
          </w:p>
        </w:tc>
      </w:tr>
      <w:tr>
        <w:tc>
          <w:tcPr>
            <w:tcW w:type="dxa" w:w="26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Installierte Leistung</w:t>
            </w:r>
          </w:p>
        </w:tc>
        <w:tc>
          <w:tcPr>
            <w:tcW w:type="dxa" w:w="70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Bestimmt die Vergütungsklasse und das Überschreiten gesetzlicher Schwellen. Maßgeblich ist der Ist-Wert.</w:t>
            </w:r>
          </w:p>
        </w:tc>
      </w:tr>
      <w:tr>
        <w:tc>
          <w:tcPr>
            <w:tcW w:type="dxa" w:w="26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MaStR-Nummer</w:t>
            </w:r>
          </w:p>
        </w:tc>
        <w:tc>
          <w:tcPr>
            <w:tcW w:type="dxa" w:w="70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Ohne Registrierung im Marktstammdatenregister droht die Kürzung des Vergütungsanspruchs.</w:t>
            </w:r>
          </w:p>
        </w:tc>
      </w:tr>
      <w:tr>
        <w:tc>
          <w:tcPr>
            <w:tcW w:type="dxa" w:w="26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Vergütungsart</w:t>
            </w:r>
          </w:p>
        </w:tc>
        <w:tc>
          <w:tcPr>
            <w:tcW w:type="dxa" w:w="70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Voll- oder Überschusseinspeisung beziehungsweise Direktvermarktung — unterschiedliche Sätze und Abrechnungslogik.</w:t>
            </w:r>
          </w:p>
        </w:tc>
      </w:tr>
      <w:tr>
        <w:tc>
          <w:tcPr>
            <w:tcW w:type="dxa" w:w="2600"/>
            <w:shd w:fill="F8E9E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Umsatzsteuerstatus</w:t>
            </w:r>
          </w:p>
        </w:tc>
        <w:tc>
          <w:tcPr>
            <w:tcW w:type="dxa" w:w="7038"/>
            <w:shd w:fill="F8E9E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Die Vergütung wird per Gutschrift abgerechnet. Ob Umsatzsteuer auszuweisen ist, hängt am Status des Betreibers.</w:t>
            </w:r>
          </w:p>
        </w:tc>
      </w:tr>
    </w:tbl>
    <w:p>
      <w:pPr>
        <w:pStyle w:val="Heading2"/>
        <w:spacing w:after="140" w:before="280"/>
      </w:pPr>
      <w:r>
        <w:rPr>
          <w:rFonts w:ascii="Arial" w:cs="Arial" w:eastAsia="Arial" w:hAnsi="Arial"/>
          <w:b/>
          <w:bCs/>
          <w:color w:val="1A1A1A"/>
          <w:sz w:val="24"/>
          <w:szCs w:val="24"/>
        </w:rPr>
        <w:t xml:space="preserve">6.3  Datenlücken</w:t>
      </w:r>
    </w:p>
    <w:p>
      <w:pPr>
        <w:spacing w:after="120" w:line="280"/>
      </w:pPr>
      <w:r>
        <w:rPr>
          <w:rFonts w:ascii="Arial" w:cs="Arial" w:eastAsia="Arial" w:hAnsi="Arial"/>
          <w:color w:val="1A1A1A"/>
          <w:sz w:val="21"/>
          <w:szCs w:val="21"/>
        </w:rPr>
        <w:t xml:space="preserve">Nicht alle Felder, die SAP benötigt, entstehen im Anmeldeportal. Für jedes dieser Felder ist im heutigen Handbetrieb bereits ein Weg etabliert — dieser ist zu erheben und zu bewerten:</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3800"/>
        <w:gridCol w:w="5838"/>
      </w:tblGrid>
      <w:tr>
        <w:trPr>
          <w:tblHeader/>
        </w:trPr>
        <w:tc>
          <w:tcPr>
            <w:tcW w:type="dxa" w:w="38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Feld</w:t>
            </w:r>
          </w:p>
        </w:tc>
        <w:tc>
          <w:tcPr>
            <w:tcW w:type="dxa" w:w="58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Entsteht</w:t>
            </w:r>
          </w:p>
        </w:tc>
      </w:tr>
      <w:tr>
        <w:tc>
          <w:tcPr>
            <w:tcW w:type="dxa" w:w="38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Marktlokation (MaLo-ID)</w:t>
            </w:r>
          </w:p>
        </w:tc>
        <w:tc>
          <w:tcPr>
            <w:tcW w:type="dxa" w:w="5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durch Vergabe des Netzbetreibers</w:t>
            </w:r>
          </w:p>
        </w:tc>
      </w:tr>
      <w:tr>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Messlokation, Zählernummer, Zählerstand</w:t>
            </w:r>
          </w:p>
        </w:tc>
        <w:tc>
          <w:tcPr>
            <w:tcW w:type="dxa" w:w="5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bei der Zählersetzung vor Ort</w:t>
            </w:r>
          </w:p>
        </w:tc>
      </w:tr>
      <w:tr>
        <w:tc>
          <w:tcPr>
            <w:tcW w:type="dxa" w:w="38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IBAN und Kontoinhaber</w:t>
            </w:r>
          </w:p>
        </w:tc>
        <w:tc>
          <w:tcPr>
            <w:tcW w:type="dxa" w:w="5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durch Erklärung des Betreibers</w:t>
            </w:r>
          </w:p>
        </w:tc>
      </w:tr>
      <w:tr>
        <w:tc>
          <w:tcPr>
            <w:tcW w:type="dxa" w:w="38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Umsatzsteuerstatus</w:t>
            </w:r>
          </w:p>
        </w:tc>
        <w:tc>
          <w:tcPr>
            <w:tcW w:type="dxa" w:w="5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durch Erklärung des Betreibers</w:t>
            </w:r>
          </w:p>
        </w:tc>
      </w:tr>
      <w:tr>
        <w:tc>
          <w:tcPr>
            <w:tcW w:type="dxa" w:w="38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MaStR-Nummer</w:t>
            </w:r>
          </w:p>
        </w:tc>
        <w:tc>
          <w:tcPr>
            <w:tcW w:type="dxa" w:w="5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durch Registrierung des Betreibers, teils erst nach Inbetriebnahme</w:t>
            </w:r>
          </w:p>
        </w:tc>
      </w:tr>
    </w:tbl>
    <w:p>
      <w:pPr>
        <w:pBdr>
          <w:left w:val="single" w:color="8A5510" w:sz="18" w:space="12"/>
        </w:pBdr>
        <w:spacing w:after="160" w:before="160" w:line="280"/>
        <w:ind w:left="280"/>
      </w:pPr>
      <w:r>
        <w:rPr>
          <w:rFonts w:ascii="Arial" w:cs="Arial" w:eastAsia="Arial" w:hAnsi="Arial"/>
          <w:i/>
          <w:iCs/>
          <w:color w:val="8A5510"/>
          <w:sz w:val="20"/>
          <w:szCs w:val="20"/>
        </w:rPr>
        <w:t xml:space="preserve">Wo der heutige Weg Handarbeit erfordert, ist die Umstellung die Gelegenheit, das Feld stattdessen direkt in der Anmeldestrecke zu erheben. Das ist jetzt eine Konfiguration — dieselben Daten später bei Bestandsbetreibern nachzuerheben, dauert Monate.</w:t>
      </w:r>
    </w:p>
    <w:p>
      <w:r>
        <w:br w:type="page"/>
      </w:r>
    </w:p>
    <w:p>
      <w:pPr>
        <w:pStyle w:val="Heading1"/>
        <w:spacing w:after="200" w:before="360"/>
      </w:pPr>
      <w:r>
        <w:rPr>
          <w:rFonts w:ascii="Arial" w:cs="Arial" w:eastAsia="Arial" w:hAnsi="Arial"/>
          <w:b/>
          <w:bCs/>
          <w:color w:val="0E5A69"/>
          <w:sz w:val="30"/>
          <w:szCs w:val="30"/>
        </w:rPr>
        <w:t xml:space="preserve">7  Prüfungen aus dem Bestand übernehmen</w:t>
      </w:r>
    </w:p>
    <w:p>
      <w:pPr>
        <w:spacing w:after="120" w:line="280"/>
      </w:pPr>
      <w:r>
        <w:rPr>
          <w:rFonts w:ascii="Arial" w:cs="Arial" w:eastAsia="Arial" w:hAnsi="Arial"/>
          <w:color w:val="1A1A1A"/>
          <w:sz w:val="21"/>
          <w:szCs w:val="21"/>
        </w:rPr>
        <w:t xml:space="preserve">Welche Vorgänge die bestehende Erzeugung zurückhält und aus welchem Grund, ist implementiert. Diese Regeln sind über Jahre an realen Fällen gewachsen und enthalten Ausnahmen, die sich nicht aus dem Kopf rekonstruieren lassen. Sie werden übernommen, nicht neu erdacht.</w:t>
      </w:r>
    </w:p>
    <w:p>
      <w:pPr>
        <w:pBdr>
          <w:left w:val="single" w:color="0E5A69" w:sz="18" w:space="12"/>
        </w:pBdr>
        <w:spacing w:after="180" w:before="180" w:line="280"/>
        <w:ind w:left="280"/>
      </w:pPr>
      <w:r>
        <w:rPr>
          <w:rFonts w:ascii="Arial" w:cs="Arial" w:eastAsia="Arial" w:hAnsi="Arial"/>
          <w:b/>
          <w:bCs/>
          <w:color w:val="1A1A1A"/>
          <w:sz w:val="21"/>
          <w:szCs w:val="21"/>
        </w:rPr>
        <w:t xml:space="preserve">Grundsatz: Im Zweifel nicht liefern. Ein Vorgang in der Klärliste ist ein sichtbares Problem, ein falscher Wert in SAP ein unsichtbares.</w:t>
      </w:r>
    </w:p>
    <w:p>
      <w:pPr>
        <w:pStyle w:val="Heading2"/>
        <w:spacing w:after="140" w:before="280"/>
      </w:pPr>
      <w:r>
        <w:rPr>
          <w:rFonts w:ascii="Arial" w:cs="Arial" w:eastAsia="Arial" w:hAnsi="Arial"/>
          <w:b/>
          <w:bCs/>
          <w:color w:val="1A1A1A"/>
          <w:sz w:val="24"/>
          <w:szCs w:val="24"/>
        </w:rPr>
        <w:t xml:space="preserve">7.1  Was der Code nicht verrät</w:t>
      </w:r>
    </w:p>
    <w:p>
      <w:pPr>
        <w:spacing w:after="120" w:line="280"/>
      </w:pPr>
      <w:r>
        <w:rPr>
          <w:rFonts w:ascii="Arial" w:cs="Arial" w:eastAsia="Arial" w:hAnsi="Arial"/>
          <w:color w:val="1A1A1A"/>
          <w:sz w:val="21"/>
          <w:szCs w:val="21"/>
        </w:rPr>
        <w:t xml:space="preserve">Zwei Punkte sind aktiv zu klären, weil sie im Quellcode meist nicht sichtbar sind. Dafür genügt ein Gespräch mit der Person, die die Strecke betreut:</w:t>
      </w:r>
    </w:p>
    <w:p>
      <w:pPr>
        <w:pStyle w:val="ListParagraph"/>
        <w:numPr>
          <w:ilvl w:val="0"/>
          <w:numId w:val="2"/>
        </w:numPr>
        <w:spacing w:after="80" w:line="280"/>
      </w:pPr>
      <w:r>
        <w:rPr>
          <w:rFonts w:ascii="Arial" w:cs="Arial" w:eastAsia="Arial" w:hAnsi="Arial"/>
          <w:b/>
          <w:bCs/>
          <w:color w:val="1A1A1A"/>
          <w:sz w:val="21"/>
          <w:szCs w:val="21"/>
        </w:rPr>
        <w:t xml:space="preserve">Was passiert heute mit einem zurückgehaltenen Vorgang — wer sieht ihn, und wie kommt er später in die Lieferung?</w:t>
      </w:r>
    </w:p>
    <w:p>
      <w:pPr>
        <w:pStyle w:val="ListParagraph"/>
        <w:numPr>
          <w:ilvl w:val="0"/>
          <w:numId w:val="2"/>
        </w:numPr>
        <w:spacing w:after="80" w:line="280"/>
      </w:pPr>
      <w:r>
        <w:rPr>
          <w:rFonts w:ascii="Arial" w:cs="Arial" w:eastAsia="Arial" w:hAnsi="Arial"/>
          <w:b/>
          <w:bCs/>
          <w:color w:val="1A1A1A"/>
          <w:sz w:val="21"/>
          <w:szCs w:val="21"/>
        </w:rPr>
        <w:t xml:space="preserve">Welche Fälle bleiben regelmäßig hängen?</w:t>
      </w:r>
      <w:r>
        <w:rPr>
          <w:rFonts w:ascii="Arial" w:cs="Arial" w:eastAsia="Arial" w:hAnsi="Arial"/>
          <w:color w:val="1A1A1A"/>
          <w:sz w:val="21"/>
          <w:szCs w:val="21"/>
        </w:rPr>
        <w:t xml:space="preserve"> Das ist gleichzeitig das Mengengerüst für die Klärliste der neuen Strecke.</w:t>
      </w:r>
    </w:p>
    <w:p>
      <w:pPr>
        <w:pStyle w:val="ListParagraph"/>
        <w:numPr>
          <w:ilvl w:val="0"/>
          <w:numId w:val="2"/>
        </w:numPr>
        <w:spacing w:after="80" w:line="280"/>
      </w:pPr>
      <w:r>
        <w:rPr>
          <w:rFonts w:ascii="Arial" w:cs="Arial" w:eastAsia="Arial" w:hAnsi="Arial"/>
          <w:color w:val="1A1A1A"/>
          <w:sz w:val="21"/>
          <w:szCs w:val="21"/>
        </w:rPr>
        <w:t xml:space="preserve">Gibt es Vorgänge, die bewusst nicht über die Datei laufen, sondern anders behandelt werden?</w:t>
      </w:r>
    </w:p>
    <w:p>
      <w:pPr>
        <w:pStyle w:val="ListParagraph"/>
        <w:numPr>
          <w:ilvl w:val="0"/>
          <w:numId w:val="2"/>
        </w:numPr>
        <w:spacing w:after="80" w:line="280"/>
      </w:pPr>
      <w:r>
        <w:rPr>
          <w:rFonts w:ascii="Arial" w:cs="Arial" w:eastAsia="Arial" w:hAnsi="Arial"/>
          <w:color w:val="1A1A1A"/>
          <w:sz w:val="21"/>
          <w:szCs w:val="21"/>
        </w:rPr>
        <w:t xml:space="preserve">Wie wird bemerkt, dass ein Import auf SAP-Seite fehlgeschlagen ist?</w:t>
      </w:r>
    </w:p>
    <w:p>
      <w:pPr>
        <w:pStyle w:val="Heading2"/>
        <w:spacing w:after="140" w:before="280"/>
      </w:pPr>
      <w:r>
        <w:rPr>
          <w:rFonts w:ascii="Arial" w:cs="Arial" w:eastAsia="Arial" w:hAnsi="Arial"/>
          <w:b/>
          <w:bCs/>
          <w:color w:val="1A1A1A"/>
          <w:sz w:val="24"/>
          <w:szCs w:val="24"/>
        </w:rPr>
        <w:t xml:space="preserve">7.2  Warum das nicht nebenbei geht</w:t>
      </w:r>
    </w:p>
    <w:p>
      <w:pPr>
        <w:spacing w:after="120" w:line="280"/>
      </w:pPr>
      <w:r>
        <w:rPr>
          <w:rFonts w:ascii="Arial" w:cs="Arial" w:eastAsia="Arial" w:hAnsi="Arial"/>
          <w:color w:val="1A1A1A"/>
          <w:sz w:val="21"/>
          <w:szCs w:val="21"/>
        </w:rPr>
        <w:t xml:space="preserve">Die Prüfungen entscheiden, ob ein Vorgang geliefert wird. Wird eine Regel bei der Ablösung übersehen, fällt das nicht sofort auf: Die Datei entsteht, SAP nimmt sie an, und erst die Abrechnung zeigt später einen falschen Wert. Der Abnahmevergleich gegen produktive Referenzdateien (Abschnitt 10) ist deshalb kein Formalismus, sondern die einzige verlässliche Kontrolle, dass keine Regel verloren ging.</w:t>
      </w:r>
    </w:p>
    <w:p>
      <w:r>
        <w:br w:type="page"/>
      </w:r>
    </w:p>
    <w:p>
      <w:pPr>
        <w:pStyle w:val="Heading1"/>
        <w:spacing w:after="200" w:before="360"/>
      </w:pPr>
      <w:r>
        <w:rPr>
          <w:rFonts w:ascii="Arial" w:cs="Arial" w:eastAsia="Arial" w:hAnsi="Arial"/>
          <w:b/>
          <w:bCs/>
          <w:color w:val="0E5A69"/>
          <w:sz w:val="30"/>
          <w:szCs w:val="30"/>
        </w:rPr>
        <w:t xml:space="preserve">8  Fehlerbehandlung und Betrieb</w:t>
      </w:r>
    </w:p>
    <w:p>
      <w:pPr>
        <w:pStyle w:val="Heading2"/>
        <w:spacing w:after="140" w:before="280"/>
      </w:pPr>
      <w:r>
        <w:rPr>
          <w:rFonts w:ascii="Arial" w:cs="Arial" w:eastAsia="Arial" w:hAnsi="Arial"/>
          <w:b/>
          <w:bCs/>
          <w:color w:val="1A1A1A"/>
          <w:sz w:val="24"/>
          <w:szCs w:val="24"/>
        </w:rPr>
        <w:t xml:space="preserve">8.1  Der wunde Punkt: keine Quittung</w:t>
      </w:r>
    </w:p>
    <w:p>
      <w:pPr>
        <w:spacing w:after="120" w:line="280"/>
      </w:pPr>
      <w:r>
        <w:rPr>
          <w:rFonts w:ascii="Arial" w:cs="Arial" w:eastAsia="Arial" w:hAnsi="Arial"/>
          <w:color w:val="1A1A1A"/>
          <w:sz w:val="21"/>
          <w:szCs w:val="21"/>
        </w:rPr>
        <w:t xml:space="preserve">Eine Dateischnittstelle hat keinen Rückkanal. Wenn SAP die Datei nicht verarbeiten kann, erfährt die liefernde Seite nichts davon — es sei denn, dafür wurde etwas eingerichtet.</w:t>
      </w:r>
    </w:p>
    <w:p>
      <w:pPr>
        <w:spacing w:after="120" w:line="280"/>
      </w:pPr>
      <w:r>
        <w:rPr>
          <w:rFonts w:ascii="Arial" w:cs="Arial" w:eastAsia="Arial" w:hAnsi="Arial"/>
          <w:color w:val="1A1A1A"/>
          <w:sz w:val="21"/>
          <w:szCs w:val="21"/>
        </w:rPr>
        <w:t xml:space="preserve">Drei Fragen an den Bestand:</w:t>
      </w:r>
    </w:p>
    <w:p>
      <w:pPr>
        <w:pStyle w:val="ListParagraph"/>
        <w:numPr>
          <w:ilvl w:val="0"/>
          <w:numId w:val="2"/>
        </w:numPr>
        <w:spacing w:after="80" w:line="280"/>
      </w:pPr>
      <w:r>
        <w:rPr>
          <w:rFonts w:ascii="Arial" w:cs="Arial" w:eastAsia="Arial" w:hAnsi="Arial"/>
          <w:color w:val="1A1A1A"/>
          <w:sz w:val="21"/>
          <w:szCs w:val="21"/>
        </w:rPr>
        <w:t xml:space="preserve">Wie wird heute bemerkt, dass ein Import fehlgeschlagen ist?</w:t>
      </w:r>
    </w:p>
    <w:p>
      <w:pPr>
        <w:pStyle w:val="ListParagraph"/>
        <w:numPr>
          <w:ilvl w:val="0"/>
          <w:numId w:val="2"/>
        </w:numPr>
        <w:spacing w:after="80" w:line="280"/>
      </w:pPr>
      <w:r>
        <w:rPr>
          <w:rFonts w:ascii="Arial" w:cs="Arial" w:eastAsia="Arial" w:hAnsi="Arial"/>
          <w:color w:val="1A1A1A"/>
          <w:sz w:val="21"/>
          <w:szCs w:val="21"/>
        </w:rPr>
        <w:t xml:space="preserve">Was geschieht bei einem Teilfehler — sind die Zeilen vor dem Abbruch verbucht?</w:t>
      </w:r>
    </w:p>
    <w:p>
      <w:pPr>
        <w:pStyle w:val="ListParagraph"/>
        <w:numPr>
          <w:ilvl w:val="0"/>
          <w:numId w:val="2"/>
        </w:numPr>
        <w:spacing w:after="80" w:line="280"/>
      </w:pPr>
      <w:r>
        <w:rPr>
          <w:rFonts w:ascii="Arial" w:cs="Arial" w:eastAsia="Arial" w:hAnsi="Arial"/>
          <w:b/>
          <w:bCs/>
          <w:color w:val="1A1A1A"/>
          <w:sz w:val="21"/>
          <w:szCs w:val="21"/>
        </w:rPr>
        <w:t xml:space="preserve">Was geschieht, wenn die Datei gar nicht erst abgeholt wird? </w:t>
      </w:r>
      <w:r>
        <w:rPr>
          <w:rFonts w:ascii="Arial" w:cs="Arial" w:eastAsia="Arial" w:hAnsi="Arial"/>
          <w:color w:val="1A1A1A"/>
          <w:sz w:val="21"/>
          <w:szCs w:val="21"/>
        </w:rPr>
        <w:t xml:space="preserve">Das ist der stille Fall: kein Fehler, keine Meldung, die Vorgänge stehen einfach nicht in SAP.</w:t>
      </w:r>
    </w:p>
    <w:p>
      <w:pPr>
        <w:pBdr>
          <w:left w:val="single" w:color="0E5A69" w:sz="18" w:space="12"/>
        </w:pBdr>
        <w:spacing w:after="180" w:before="180" w:line="280"/>
        <w:ind w:left="280"/>
      </w:pPr>
      <w:r>
        <w:rPr>
          <w:rFonts w:ascii="Arial" w:cs="Arial" w:eastAsia="Arial" w:hAnsi="Arial"/>
          <w:b/>
          <w:bCs/>
          <w:color w:val="1A1A1A"/>
          <w:sz w:val="21"/>
          <w:szCs w:val="21"/>
        </w:rPr>
        <w:t xml:space="preserve">Solange es kein Rückprotokoll gibt, braucht es einen Abgleich statt einer Fehlerquote: gelieferte Zeilen gegen angelegte Datensätze, regelmäßig und automatisch.</w:t>
      </w:r>
    </w:p>
    <w:p>
      <w:pPr>
        <w:pStyle w:val="Heading2"/>
        <w:spacing w:after="140" w:before="280"/>
      </w:pPr>
      <w:r>
        <w:rPr>
          <w:rFonts w:ascii="Arial" w:cs="Arial" w:eastAsia="Arial" w:hAnsi="Arial"/>
          <w:b/>
          <w:bCs/>
          <w:color w:val="1A1A1A"/>
          <w:sz w:val="24"/>
          <w:szCs w:val="24"/>
        </w:rPr>
        <w:t xml:space="preserve">8.2  Behandlung nach Fehlerklasse</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2400"/>
        <w:gridCol w:w="3400"/>
        <w:gridCol w:w="3838"/>
      </w:tblGrid>
      <w:tr>
        <w:trPr>
          <w:tblHeader/>
        </w:trPr>
        <w:tc>
          <w:tcPr>
            <w:tcW w:type="dxa" w:w="2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Klasse</w:t>
            </w:r>
          </w:p>
        </w:tc>
        <w:tc>
          <w:tcPr>
            <w:tcW w:type="dxa" w:w="3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Beispiel</w:t>
            </w:r>
          </w:p>
        </w:tc>
        <w:tc>
          <w:tcPr>
            <w:tcW w:type="dxa" w:w="38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Verhalten</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Fachlich unvollständig</w:t>
            </w:r>
          </w:p>
        </w:tc>
        <w:tc>
          <w:tcPr>
            <w:tcW w:type="dxa" w:w="3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MaStR-Nummer oder IBAN fehlt</w:t>
            </w:r>
          </w:p>
        </w:tc>
        <w:tc>
          <w:tcPr>
            <w:tcW w:type="dxa" w:w="3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keine Übertragung; Vorgang in die Klärliste, Nachforderung beim Betreiber</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Fachlich unplausibel</w:t>
            </w:r>
          </w:p>
        </w:tc>
        <w:tc>
          <w:tcPr>
            <w:tcW w:type="dxa" w:w="3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Leistung weicht stark vom Antrag ab, Datum in der Zukunft</w:t>
            </w:r>
          </w:p>
        </w:tc>
        <w:tc>
          <w:tcPr>
            <w:tcW w:type="dxa" w:w="3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Prüfung durch die Sachbearbeitung vor Übertragung</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Nicht darstellbares Zeichen</w:t>
            </w:r>
          </w:p>
        </w:tc>
        <w:tc>
          <w:tcPr>
            <w:tcW w:type="dxa" w:w="3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Name mit Zeichen außerhalb der Zielkodierung</w:t>
            </w:r>
          </w:p>
        </w:tc>
        <w:tc>
          <w:tcPr>
            <w:tcW w:type="dxa" w:w="3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Vorgang in die Klärliste — niemals still ersetzen</w:t>
            </w:r>
          </w:p>
        </w:tc>
      </w:tr>
      <w:tr>
        <w:tc>
          <w:tcPr>
            <w:tcW w:type="dxa" w:w="2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Technisch vorübergehend</w:t>
            </w:r>
          </w:p>
        </w:tc>
        <w:tc>
          <w:tcPr>
            <w:tcW w:type="dxa" w:w="3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Zielsystem nicht erreichbar</w:t>
            </w:r>
          </w:p>
        </w:tc>
        <w:tc>
          <w:tcPr>
            <w:tcW w:type="dxa" w:w="38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Wiederholung, danach Alarm</w:t>
            </w:r>
          </w:p>
        </w:tc>
      </w:tr>
      <w:tr>
        <w:tc>
          <w:tcPr>
            <w:tcW w:type="dxa" w:w="2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Technisch dauerhaft</w:t>
            </w:r>
          </w:p>
        </w:tc>
        <w:tc>
          <w:tcPr>
            <w:tcW w:type="dxa" w:w="3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Anmeldung abgelehnt, Verzeichnis nicht beschreibbar</w:t>
            </w:r>
          </w:p>
        </w:tc>
        <w:tc>
          <w:tcPr>
            <w:tcW w:type="dxa" w:w="38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sofortiger Alarm, keine stille Wiederholung</w:t>
            </w:r>
          </w:p>
        </w:tc>
      </w:tr>
    </w:tbl>
    <w:p>
      <w:pPr>
        <w:pStyle w:val="Heading2"/>
        <w:spacing w:after="140" w:before="280"/>
      </w:pPr>
      <w:r>
        <w:rPr>
          <w:rFonts w:ascii="Arial" w:cs="Arial" w:eastAsia="Arial" w:hAnsi="Arial"/>
          <w:b/>
          <w:bCs/>
          <w:color w:val="1A1A1A"/>
          <w:sz w:val="24"/>
          <w:szCs w:val="24"/>
        </w:rPr>
        <w:t xml:space="preserve">8.3  Kennzahl für den Betrieb</w:t>
      </w:r>
    </w:p>
    <w:p>
      <w:pPr>
        <w:spacing w:after="120" w:line="280"/>
      </w:pPr>
      <w:r>
        <w:rPr>
          <w:rFonts w:ascii="Arial" w:cs="Arial" w:eastAsia="Arial" w:hAnsi="Arial"/>
          <w:color w:val="1A1A1A"/>
          <w:sz w:val="21"/>
          <w:szCs w:val="21"/>
        </w:rPr>
        <w:t xml:space="preserve">Die eine Zahl, die zählt: </w:t>
      </w:r>
      <w:r>
        <w:rPr>
          <w:rFonts w:ascii="Arial" w:cs="Arial" w:eastAsia="Arial" w:hAnsi="Arial"/>
          <w:b/>
          <w:bCs/>
          <w:color w:val="1A1A1A"/>
          <w:sz w:val="21"/>
          <w:szCs w:val="21"/>
        </w:rPr>
        <w:t xml:space="preserve">Anzahl inbetriebgesetzter Anlagen ohne Stammdatensatz in SAP, nach Alter.</w:t>
      </w:r>
      <w:r>
        <w:rPr>
          <w:rFonts w:ascii="Arial" w:cs="Arial" w:eastAsia="Arial" w:hAnsi="Arial"/>
          <w:color w:val="1A1A1A"/>
          <w:sz w:val="21"/>
          <w:szCs w:val="21"/>
        </w:rPr>
        <w:t xml:space="preserve"> Sie zeigt, ob die Strecke trägt. Eine reine Fehlerquote tut das nicht — ein Vorgang, der gar nicht erst losläuft, erzeugt keinen Fehler.</w:t>
      </w:r>
    </w:p>
    <w:p>
      <w:r>
        <w:br w:type="page"/>
      </w:r>
    </w:p>
    <w:p>
      <w:pPr>
        <w:pStyle w:val="Heading1"/>
        <w:spacing w:after="200" w:before="360"/>
      </w:pPr>
      <w:r>
        <w:rPr>
          <w:rFonts w:ascii="Arial" w:cs="Arial" w:eastAsia="Arial" w:hAnsi="Arial"/>
          <w:b/>
          <w:bCs/>
          <w:color w:val="0E5A69"/>
          <w:sz w:val="30"/>
          <w:szCs w:val="30"/>
        </w:rPr>
        <w:t xml:space="preserve">9  Sicherheit und Datenschutz</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3000"/>
        <w:gridCol w:w="6638"/>
      </w:tblGrid>
      <w:tr>
        <w:trPr>
          <w:tblHeader/>
        </w:trPr>
        <w:tc>
          <w:tcPr>
            <w:tcW w:type="dxa" w:w="30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Aspekt</w:t>
            </w:r>
          </w:p>
        </w:tc>
        <w:tc>
          <w:tcPr>
            <w:tcW w:type="dxa" w:w="66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Bewertung / offener Punkt</w:t>
            </w:r>
          </w:p>
        </w:tc>
      </w:tr>
      <w:tr>
        <w:tc>
          <w:tcPr>
            <w:tcW w:type="dxa" w:w="3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Personenbezogene Daten</w:t>
            </w:r>
          </w:p>
        </w:tc>
        <w:tc>
          <w:tcPr>
            <w:tcW w:type="dxa" w:w="6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ja — Betreiber sind überwiegend Privatpersonen: Name, Anschrift, Bankverbindung, Steuermerkmale</w:t>
            </w:r>
          </w:p>
        </w:tc>
      </w:tr>
      <w:tr>
        <w:tc>
          <w:tcPr>
            <w:tcW w:type="dxa" w:w="3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Bankverbindung</w:t>
            </w:r>
          </w:p>
        </w:tc>
        <w:tc>
          <w:tcPr>
            <w:tcW w:type="dxa" w:w="6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erhöhter Schutzbedarf; Protokollierung ausschließlich maskiert</w:t>
            </w:r>
          </w:p>
        </w:tc>
      </w:tr>
      <w:tr>
        <w:tc>
          <w:tcPr>
            <w:tcW w:type="dxa" w:w="3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Rechtsgrundlage</w:t>
            </w:r>
          </w:p>
        </w:tc>
        <w:tc>
          <w:tcPr>
            <w:tcW w:type="dxa" w:w="6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einzutragen</w:t>
            </w:r>
          </w:p>
        </w:tc>
      </w:tr>
      <w:tr>
        <w:tc>
          <w:tcPr>
            <w:tcW w:type="dxa" w:w="3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Verarbeitungsverzeichnis</w:t>
            </w:r>
          </w:p>
        </w:tc>
        <w:tc>
          <w:tcPr>
            <w:tcW w:type="dxa" w:w="6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Eintrag zu ergänzen</w:t>
            </w:r>
          </w:p>
        </w:tc>
      </w:tr>
      <w:tr>
        <w:tc>
          <w:tcPr>
            <w:tcW w:type="dxa" w:w="3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Löschfristen</w:t>
            </w:r>
          </w:p>
        </w:tc>
        <w:tc>
          <w:tcPr>
            <w:tcW w:type="dxa" w:w="6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in SAP nach steuerlichen Aufbewahrungsfristen, in epilot abweichend — bewusst zu entscheiden und zu dokumentieren</w:t>
            </w:r>
          </w:p>
        </w:tc>
      </w:tr>
      <w:tr>
        <w:tc>
          <w:tcPr>
            <w:tcW w:type="dxa" w:w="3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Netzzugang</w:t>
            </w:r>
          </w:p>
        </w:tc>
        <w:tc>
          <w:tcPr>
            <w:tcW w:type="dxa" w:w="6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ausschließlich ausgehendes HTTPS; keine eingehende Freigabe erforderlich</w:t>
            </w:r>
          </w:p>
        </w:tc>
      </w:tr>
      <w:tr>
        <w:tc>
          <w:tcPr>
            <w:tcW w:type="dxa" w:w="30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Zugangsdaten</w:t>
            </w:r>
          </w:p>
        </w:tc>
        <w:tc>
          <w:tcPr>
            <w:tcW w:type="dxa" w:w="66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Access Token im Azure Key Vault, Erneuerung überwacht</w:t>
            </w:r>
          </w:p>
        </w:tc>
      </w:tr>
      <w:tr>
        <w:tc>
          <w:tcPr>
            <w:tcW w:type="dxa" w:w="30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Klärliste</w:t>
            </w:r>
          </w:p>
        </w:tc>
        <w:tc>
          <w:tcPr>
            <w:tcW w:type="dxa" w:w="66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enthält Vorgangskennungen, keine personenbezogenen Inhalte — durch Test abgesichert</w:t>
            </w:r>
          </w:p>
        </w:tc>
      </w:tr>
    </w:tbl>
    <w:p>
      <w:r>
        <w:br w:type="page"/>
      </w:r>
    </w:p>
    <w:p>
      <w:pPr>
        <w:pStyle w:val="Heading1"/>
        <w:spacing w:after="200" w:before="360"/>
      </w:pPr>
      <w:r>
        <w:rPr>
          <w:rFonts w:ascii="Arial" w:cs="Arial" w:eastAsia="Arial" w:hAnsi="Arial"/>
          <w:b/>
          <w:bCs/>
          <w:color w:val="0E5A69"/>
          <w:sz w:val="30"/>
          <w:szCs w:val="30"/>
        </w:rPr>
        <w:t xml:space="preserve">10  Umsetzung</w:t>
      </w:r>
    </w:p>
    <w:p>
      <w:pPr>
        <w:pStyle w:val="Heading2"/>
        <w:spacing w:after="140" w:before="280"/>
      </w:pPr>
      <w:r>
        <w:rPr>
          <w:rFonts w:ascii="Arial" w:cs="Arial" w:eastAsia="Arial" w:hAnsi="Arial"/>
          <w:b/>
          <w:bCs/>
          <w:color w:val="1A1A1A"/>
          <w:sz w:val="24"/>
          <w:szCs w:val="24"/>
        </w:rPr>
        <w:t xml:space="preserve">10.1  Stand der technischen Arbeiten</w:t>
      </w:r>
    </w:p>
    <w:p>
      <w:pPr>
        <w:spacing w:after="120" w:line="280"/>
      </w:pPr>
      <w:r>
        <w:rPr>
          <w:rFonts w:ascii="Arial" w:cs="Arial" w:eastAsia="Arial" w:hAnsi="Arial"/>
          <w:color w:val="1A1A1A"/>
          <w:sz w:val="21"/>
          <w:szCs w:val="21"/>
        </w:rPr>
        <w:t xml:space="preserve">Der Export-Lauf ist gebaut und läuft gegen Testdaten. Tragendes Prinzip: Alles, was aus der Erhebung stammt, steht in einer Konfigurationsdatei — Kodierung, Trennzeichen, Zeilenende, Spaltenreihenfolge, Datumsformate, Wertelisten und Prüfregeln. Der Code kennt keine SAP-Feldnamen.</w:t>
      </w:r>
    </w:p>
    <w:p>
      <w:pPr>
        <w:spacing w:after="120" w:line="280"/>
      </w:pPr>
      <w:r>
        <w:rPr>
          <w:rFonts w:ascii="Arial" w:cs="Arial" w:eastAsia="Arial" w:hAnsi="Arial"/>
          <w:color w:val="1A1A1A"/>
          <w:sz w:val="21"/>
          <w:szCs w:val="21"/>
        </w:rPr>
        <w:t xml:space="preserve">Dadurch ist die Umsetzung bereits nutzbar, obwohl das Zielformat noch offen ist: Bringt die Erhebung Überraschungen, ändert sich eine Konfigurationsdatei, kein Programmcode. Ein Hilfsprogramm erzeugt diese Konfiguration direkt aus der ausgefüllten Erhebungsmappe.</w:t>
      </w:r>
    </w:p>
    <w:p>
      <w:pPr>
        <w:spacing w:after="120" w:line="280"/>
      </w:pPr>
      <w:r>
        <w:rPr>
          <w:rFonts w:ascii="Arial" w:cs="Arial" w:eastAsia="Arial" w:hAnsi="Arial"/>
          <w:color w:val="1A1A1A"/>
          <w:sz w:val="21"/>
          <w:szCs w:val="21"/>
        </w:rPr>
        <w:t xml:space="preserve">Das trägt auch die zweite Strecke: </w:t>
      </w:r>
      <w:r>
        <w:rPr>
          <w:rFonts w:ascii="Arial" w:cs="Arial" w:eastAsia="Arial" w:hAnsi="Arial"/>
          <w:b/>
          <w:bCs/>
          <w:color w:val="1A1A1A"/>
          <w:sz w:val="21"/>
          <w:szCs w:val="21"/>
        </w:rPr>
        <w:t xml:space="preserve">Zwei Dateiformate bedeuten zwei Konfigurationen, nicht zwei Programme.</w:t>
      </w:r>
      <w:r>
        <w:rPr>
          <w:rFonts w:ascii="Arial" w:cs="Arial" w:eastAsia="Arial" w:hAnsi="Arial"/>
          <w:color w:val="1A1A1A"/>
          <w:sz w:val="21"/>
          <w:szCs w:val="21"/>
        </w:rPr>
        <w:t xml:space="preserve"> Ob § 14a und Einspeiser tatsächlich zwei Formate sind, ist offen (Abschnitt 2.4).</w:t>
      </w:r>
    </w:p>
    <w:p>
      <w:pPr>
        <w:spacing w:after="120" w:line="280"/>
      </w:pPr>
      <w:r>
        <w:rPr>
          <w:rFonts w:ascii="Arial" w:cs="Arial" w:eastAsia="Arial" w:hAnsi="Arial"/>
          <w:color w:val="1A1A1A"/>
          <w:sz w:val="21"/>
          <w:szCs w:val="21"/>
        </w:rPr>
        <w:t xml:space="preserve">Abgesichert sind unter anderem:</w:t>
      </w:r>
    </w:p>
    <w:p>
      <w:pPr>
        <w:pStyle w:val="ListParagraph"/>
        <w:numPr>
          <w:ilvl w:val="0"/>
          <w:numId w:val="2"/>
        </w:numPr>
        <w:spacing w:after="80" w:line="280"/>
      </w:pPr>
      <w:r>
        <w:rPr>
          <w:rFonts w:ascii="Arial" w:cs="Arial" w:eastAsia="Arial" w:hAnsi="Arial"/>
          <w:color w:val="1A1A1A"/>
          <w:sz w:val="21"/>
          <w:szCs w:val="21"/>
        </w:rPr>
        <w:t xml:space="preserve">das Dateiformat byteweise — Zeilenende, Kodierung, Maskierung, Byte Order Mark</w:t>
      </w:r>
    </w:p>
    <w:p>
      <w:pPr>
        <w:pStyle w:val="ListParagraph"/>
        <w:numPr>
          <w:ilvl w:val="0"/>
          <w:numId w:val="2"/>
        </w:numPr>
        <w:spacing w:after="80" w:line="280"/>
      </w:pPr>
      <w:r>
        <w:rPr>
          <w:rFonts w:ascii="Arial" w:cs="Arial" w:eastAsia="Arial" w:hAnsi="Arial"/>
          <w:color w:val="1A1A1A"/>
          <w:sz w:val="21"/>
          <w:szCs w:val="21"/>
        </w:rPr>
        <w:t xml:space="preserve">die atomare Ablage: keine halb geschriebene Datei kann abgeholt werden</w:t>
      </w:r>
    </w:p>
    <w:p>
      <w:pPr>
        <w:pStyle w:val="ListParagraph"/>
        <w:numPr>
          <w:ilvl w:val="0"/>
          <w:numId w:val="2"/>
        </w:numPr>
        <w:spacing w:after="80" w:line="280"/>
      </w:pPr>
      <w:r>
        <w:rPr>
          <w:rFonts w:ascii="Arial" w:cs="Arial" w:eastAsia="Arial" w:hAnsi="Arial"/>
          <w:color w:val="1A1A1A"/>
          <w:sz w:val="21"/>
          <w:szCs w:val="21"/>
        </w:rPr>
        <w:t xml:space="preserve">der Lauf mit einer Attrappe der Schnittstelle, einschließlich Ausfall beim Statusschreiben</w:t>
      </w:r>
    </w:p>
    <w:p>
      <w:pPr>
        <w:pStyle w:val="ListParagraph"/>
        <w:numPr>
          <w:ilvl w:val="0"/>
          <w:numId w:val="2"/>
        </w:numPr>
        <w:spacing w:after="80" w:line="280"/>
      </w:pPr>
      <w:r>
        <w:rPr>
          <w:rFonts w:ascii="Arial" w:cs="Arial" w:eastAsia="Arial" w:hAnsi="Arial"/>
          <w:color w:val="1A1A1A"/>
          <w:sz w:val="21"/>
          <w:szCs w:val="21"/>
        </w:rPr>
        <w:t xml:space="preserve">dass die Klärliste keine personenbezogenen Daten enthält</w:t>
      </w:r>
    </w:p>
    <w:p>
      <w:pPr>
        <w:pStyle w:val="Heading2"/>
        <w:spacing w:after="140" w:before="280"/>
      </w:pPr>
      <w:r>
        <w:rPr>
          <w:rFonts w:ascii="Arial" w:cs="Arial" w:eastAsia="Arial" w:hAnsi="Arial"/>
          <w:b/>
          <w:bCs/>
          <w:color w:val="1A1A1A"/>
          <w:sz w:val="24"/>
          <w:szCs w:val="24"/>
        </w:rPr>
        <w:t xml:space="preserve">10.2  Einführung im Parallelbetrieb</w:t>
      </w:r>
    </w:p>
    <w:p>
      <w:pPr>
        <w:spacing w:after="120" w:line="280"/>
      </w:pPr>
      <w:r>
        <w:rPr>
          <w:rFonts w:ascii="Arial" w:cs="Arial" w:eastAsia="Arial" w:hAnsi="Arial"/>
          <w:color w:val="1A1A1A"/>
          <w:sz w:val="21"/>
          <w:szCs w:val="21"/>
        </w:rPr>
        <w:t xml:space="preserve">Weil die bestehende Strecke bis zur Abschaltung des Altportals weiterläuft, lässt sich die neue daneben betreiben, ohne dass sie liefert. Das ist die stärkste Absicherung, die dieses Vorhaben haben kann — und sie kostet fast nichts.</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1800"/>
        <w:gridCol w:w="4400"/>
        <w:gridCol w:w="3438"/>
      </w:tblGrid>
      <w:tr>
        <w:trPr>
          <w:tblHeader/>
        </w:trPr>
        <w:tc>
          <w:tcPr>
            <w:tcW w:type="dxa" w:w="18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Phase</w:t>
            </w:r>
          </w:p>
        </w:tc>
        <w:tc>
          <w:tcPr>
            <w:tcW w:type="dxa" w:w="4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Ablauf</w:t>
            </w:r>
          </w:p>
        </w:tc>
        <w:tc>
          <w:tcPr>
            <w:tcW w:type="dxa" w:w="34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Wirkung</w:t>
            </w:r>
          </w:p>
        </w:tc>
      </w:tr>
      <w:tr>
        <w:tc>
          <w:tcPr>
            <w:tcW w:type="dxa" w:w="18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Trockenlauf</w:t>
            </w:r>
          </w:p>
        </w:tc>
        <w:tc>
          <w:tcPr>
            <w:tcW w:type="dxa" w:w="4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Der neue Lauf erzeugt seine Datei in ein Prüfverzeichnis. Die bestehende Strecke liefert weiterhin nach SAP. Beide Dateien werden automatisch verglichen.</w:t>
            </w:r>
          </w:p>
        </w:tc>
        <w:tc>
          <w:tcPr>
            <w:tcW w:type="dxa" w:w="34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Jede Abweichung wird sichtbar, ohne dass ein Vorgang in SAP betroffen ist.</w:t>
            </w:r>
          </w:p>
        </w:tc>
      </w:tr>
      <w:tr>
        <w:tc>
          <w:tcPr>
            <w:tcW w:type="dxa" w:w="18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Umschaltung</w:t>
            </w:r>
          </w:p>
        </w:tc>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Nach einem vereinbarten Zeitraum ohne Abweichung liefert der neue Lauf, die alte Strecke wird abgeschaltet.</w:t>
            </w:r>
          </w:p>
        </w:tc>
        <w:tc>
          <w:tcPr>
            <w:tcW w:type="dxa" w:w="34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Der Wechsel ist ein Konfigurationsschritt, kein Risiko.</w:t>
            </w:r>
          </w:p>
        </w:tc>
      </w:tr>
    </w:tbl>
    <w:p>
      <w:pPr>
        <w:pBdr>
          <w:left w:val="single" w:color="8A5510" w:sz="18" w:space="12"/>
        </w:pBdr>
        <w:spacing w:after="160" w:before="160" w:line="280"/>
        <w:ind w:left="280"/>
      </w:pPr>
      <w:r>
        <w:rPr>
          <w:rFonts w:ascii="Arial" w:cs="Arial" w:eastAsia="Arial" w:hAnsi="Arial"/>
          <w:i/>
          <w:iCs/>
          <w:color w:val="8A5510"/>
          <w:sz w:val="20"/>
          <w:szCs w:val="20"/>
        </w:rPr>
        <w:t xml:space="preserve">Zwingend dabei: Nur eine Strecke schreibt in das Zielverzeichnis. Zwei Quellen, die parallel nach SAP liefern, erzeugen Dubletten — und eine Dublette im Geschäftspartner zieht sich durch die gesamte Abrechnung.</w:t>
      </w:r>
    </w:p>
    <w:p>
      <w:pPr>
        <w:pStyle w:val="Heading2"/>
        <w:spacing w:after="140" w:before="280"/>
      </w:pPr>
      <w:r>
        <w:rPr>
          <w:rFonts w:ascii="Arial" w:cs="Arial" w:eastAsia="Arial" w:hAnsi="Arial"/>
          <w:b/>
          <w:bCs/>
          <w:color w:val="1A1A1A"/>
          <w:sz w:val="24"/>
          <w:szCs w:val="24"/>
        </w:rPr>
        <w:t xml:space="preserve">10.3  Phasen</w:t>
      </w:r>
    </w:p>
    <w:p>
      <w:pPr>
        <w:spacing w:after="120" w:line="280"/>
      </w:pPr>
      <w:r>
        <w:rPr>
          <w:rFonts w:ascii="Arial" w:cs="Arial" w:eastAsia="Arial" w:hAnsi="Arial"/>
          <w:i/>
          <w:iCs/>
          <w:color w:val="1A1A1A"/>
          <w:sz w:val="21"/>
          <w:szCs w:val="21"/>
        </w:rPr>
        <w:t xml:space="preserve">Größenordnungen für die Planung, keine belastbaren Schätzungen. Sie setzen voraus, dass das epilot-Datenmodell für Netzanschlussanfragen steht.</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900"/>
        <w:gridCol w:w="4200"/>
        <w:gridCol w:w="1400"/>
        <w:gridCol w:w="3138"/>
      </w:tblGrid>
      <w:tr>
        <w:trPr>
          <w:tblHeader/>
        </w:trPr>
        <w:tc>
          <w:tcPr>
            <w:tcW w:type="dxa" w:w="9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Phase</w:t>
            </w:r>
          </w:p>
        </w:tc>
        <w:tc>
          <w:tcPr>
            <w:tcW w:type="dxa" w:w="42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Inhalt</w:t>
            </w:r>
          </w:p>
        </w:tc>
        <w:tc>
          <w:tcPr>
            <w:tcW w:type="dxa" w:w="1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Aufwand</w:t>
            </w:r>
          </w:p>
        </w:tc>
        <w:tc>
          <w:tcPr>
            <w:tcW w:type="dxa" w:w="31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Ergebnis</w:t>
            </w:r>
          </w:p>
        </w:tc>
      </w:tr>
      <w:tr>
        <w:tc>
          <w:tcPr>
            <w:tcW w:type="dxa" w:w="9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w:t>
            </w:r>
          </w:p>
        </w:tc>
        <w:tc>
          <w:tcPr>
            <w:tcW w:type="dxa" w:w="4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Erhebung: Erzeugungscode, Referenzdateien, Format aufnehmen</w:t>
            </w:r>
          </w:p>
        </w:tc>
        <w:tc>
          <w:tcPr>
            <w:tcW w:type="dxa" w:w="1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2–3 PT</w:t>
            </w:r>
          </w:p>
        </w:tc>
        <w:tc>
          <w:tcPr>
            <w:tcW w:type="dxa" w:w="3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Mapping und Formatspezifikation</w:t>
            </w:r>
          </w:p>
        </w:tc>
      </w:tr>
      <w:tr>
        <w:tc>
          <w:tcPr>
            <w:tcW w:type="dxa" w:w="9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2</w:t>
            </w:r>
          </w:p>
        </w:tc>
        <w:tc>
          <w:tcPr>
            <w:tcW w:type="dxa" w:w="4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Werkzeugentscheidung</w:t>
            </w:r>
          </w:p>
        </w:tc>
        <w:tc>
          <w:tcPr>
            <w:tcW w:type="dxa" w:w="1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1 PT</w:t>
            </w:r>
          </w:p>
        </w:tc>
        <w:tc>
          <w:tcPr>
            <w:tcW w:type="dxa" w:w="3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folgt aus Phase 1</w:t>
            </w:r>
          </w:p>
        </w:tc>
      </w:tr>
      <w:tr>
        <w:tc>
          <w:tcPr>
            <w:tcW w:type="dxa" w:w="9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3</w:t>
            </w:r>
          </w:p>
        </w:tc>
        <w:tc>
          <w:tcPr>
            <w:tcW w:type="dxa" w:w="4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epilot: Übertragungsstatus, fehlende Felder in der Strecke</w:t>
            </w:r>
          </w:p>
        </w:tc>
        <w:tc>
          <w:tcPr>
            <w:tcW w:type="dxa" w:w="1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2–4 PT</w:t>
            </w:r>
          </w:p>
        </w:tc>
        <w:tc>
          <w:tcPr>
            <w:tcW w:type="dxa" w:w="3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saubere Selektion</w:t>
            </w:r>
          </w:p>
        </w:tc>
      </w:tr>
      <w:tr>
        <w:tc>
          <w:tcPr>
            <w:tcW w:type="dxa" w:w="9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4</w:t>
            </w:r>
          </w:p>
        </w:tc>
        <w:tc>
          <w:tcPr>
            <w:tcW w:type="dxa" w:w="4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Erzeugung: Abruf, Transformation, Datei</w:t>
            </w:r>
          </w:p>
        </w:tc>
        <w:tc>
          <w:tcPr>
            <w:tcW w:type="dxa" w:w="1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5–8 PT</w:t>
            </w:r>
          </w:p>
        </w:tc>
        <w:tc>
          <w:tcPr>
            <w:tcW w:type="dxa" w:w="3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Datei entsteht</w:t>
            </w:r>
          </w:p>
        </w:tc>
      </w:tr>
      <w:tr>
        <w:tc>
          <w:tcPr>
            <w:tcW w:type="dxa" w:w="9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5</w:t>
            </w:r>
          </w:p>
        </w:tc>
        <w:tc>
          <w:tcPr>
            <w:tcW w:type="dxa" w:w="4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Prüfregeln aus dem Bestand übernehmen, Klärliste</w:t>
            </w:r>
          </w:p>
        </w:tc>
        <w:tc>
          <w:tcPr>
            <w:tcW w:type="dxa" w:w="1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2–3 PT</w:t>
            </w:r>
          </w:p>
        </w:tc>
        <w:tc>
          <w:tcPr>
            <w:tcW w:type="dxa" w:w="3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keine Regel geht verloren</w:t>
            </w:r>
          </w:p>
        </w:tc>
      </w:tr>
      <w:tr>
        <w:tc>
          <w:tcPr>
            <w:tcW w:type="dxa" w:w="9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6</w:t>
            </w:r>
          </w:p>
        </w:tc>
        <w:tc>
          <w:tcPr>
            <w:tcW w:type="dxa" w:w="4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Zustellung: Gateway, atomare Übergabe</w:t>
            </w:r>
          </w:p>
        </w:tc>
        <w:tc>
          <w:tcPr>
            <w:tcW w:type="dxa" w:w="1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1–2 PT</w:t>
            </w:r>
          </w:p>
        </w:tc>
        <w:tc>
          <w:tcPr>
            <w:tcW w:type="dxa" w:w="3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Datei liegt richtig</w:t>
            </w:r>
          </w:p>
        </w:tc>
      </w:tr>
      <w:tr>
        <w:tc>
          <w:tcPr>
            <w:tcW w:type="dxa" w:w="9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7</w:t>
            </w:r>
          </w:p>
        </w:tc>
        <w:tc>
          <w:tcPr>
            <w:tcW w:type="dxa" w:w="4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Vergleichstest gegen reale Altdateien</w:t>
            </w:r>
          </w:p>
        </w:tc>
        <w:tc>
          <w:tcPr>
            <w:tcW w:type="dxa" w:w="1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3–5 PT</w:t>
            </w:r>
          </w:p>
        </w:tc>
        <w:tc>
          <w:tcPr>
            <w:tcW w:type="dxa" w:w="3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byteweise Gleichheit</w:t>
            </w:r>
          </w:p>
        </w:tc>
      </w:tr>
      <w:tr>
        <w:tc>
          <w:tcPr>
            <w:tcW w:type="dxa" w:w="9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8</w:t>
            </w:r>
          </w:p>
        </w:tc>
        <w:tc>
          <w:tcPr>
            <w:tcW w:type="dxa" w:w="4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Parallelbetrieb mit automatischem Dateivergleich</w:t>
            </w:r>
          </w:p>
        </w:tc>
        <w:tc>
          <w:tcPr>
            <w:tcW w:type="dxa" w:w="14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4–6 Wochen</w:t>
            </w:r>
          </w:p>
        </w:tc>
        <w:tc>
          <w:tcPr>
            <w:tcW w:type="dxa" w:w="3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nachgewiesene Gleichheit</w:t>
            </w:r>
          </w:p>
        </w:tc>
      </w:tr>
      <w:tr>
        <w:tc>
          <w:tcPr>
            <w:tcW w:type="dxa" w:w="9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9</w:t>
            </w:r>
          </w:p>
        </w:tc>
        <w:tc>
          <w:tcPr>
            <w:tcW w:type="dxa" w:w="4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Umschaltung, alte Strecke abschalten</w:t>
            </w:r>
          </w:p>
        </w:tc>
        <w:tc>
          <w:tcPr>
            <w:tcW w:type="dxa" w:w="14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1 PT</w:t>
            </w:r>
          </w:p>
        </w:tc>
        <w:tc>
          <w:tcPr>
            <w:tcW w:type="dxa" w:w="3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Ablösung vollzogen</w:t>
            </w:r>
          </w:p>
        </w:tc>
      </w:tr>
    </w:tbl>
    <w:p>
      <w:pPr>
        <w:pBdr>
          <w:left w:val="single" w:color="0E5A69" w:sz="18" w:space="12"/>
        </w:pBdr>
        <w:spacing w:after="180" w:before="180" w:line="280"/>
        <w:ind w:left="280"/>
      </w:pPr>
      <w:r>
        <w:rPr>
          <w:rFonts w:ascii="Arial" w:cs="Arial" w:eastAsia="Arial" w:hAnsi="Arial"/>
          <w:b/>
          <w:bCs/>
          <w:color w:val="1A1A1A"/>
          <w:sz w:val="21"/>
          <w:szCs w:val="21"/>
        </w:rPr>
        <w:t xml:space="preserve">Kritischer Pfad ist Phase 1. Ohne die Originaldatei ist die Werkzeugentscheidung nicht zu treffen, ohne Zugang zum Erzeugungscode fehlt das Mapping.</w:t>
      </w:r>
    </w:p>
    <w:p>
      <w:pPr>
        <w:spacing w:after="120" w:line="280"/>
      </w:pPr>
      <w:r>
        <w:rPr>
          <w:rFonts w:ascii="Arial" w:cs="Arial" w:eastAsia="Arial" w:hAnsi="Arial"/>
          <w:b/>
          <w:bCs/>
          <w:color w:val="1A1A1A"/>
          <w:sz w:val="21"/>
          <w:szCs w:val="21"/>
        </w:rPr>
        <w:t xml:space="preserve">Der Endtermin ergibt sich von außen: </w:t>
      </w:r>
      <w:r>
        <w:rPr>
          <w:rFonts w:ascii="Arial" w:cs="Arial" w:eastAsia="Arial" w:hAnsi="Arial"/>
          <w:color w:val="1A1A1A"/>
          <w:sz w:val="21"/>
          <w:szCs w:val="21"/>
        </w:rPr>
        <w:t xml:space="preserve">Die Strecke muss stehen, bevor das Altportal abgeschaltet wird. Dieser Termin gehört in die Planung, bevor über Phasen gesprochen wird — und er gilt für beide Strecken, Einspeiser und § 14a.</w:t>
      </w:r>
    </w:p>
    <w:p>
      <w:r>
        <w:br w:type="page"/>
      </w:r>
    </w:p>
    <w:p>
      <w:pPr>
        <w:pStyle w:val="Heading1"/>
        <w:spacing w:after="200" w:before="360"/>
      </w:pPr>
      <w:r>
        <w:rPr>
          <w:rFonts w:ascii="Arial" w:cs="Arial" w:eastAsia="Arial" w:hAnsi="Arial"/>
          <w:b/>
          <w:bCs/>
          <w:color w:val="0E5A69"/>
          <w:sz w:val="30"/>
          <w:szCs w:val="30"/>
        </w:rPr>
        <w:t xml:space="preserve">11  Offene Punkte</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700"/>
        <w:gridCol w:w="5200"/>
        <w:gridCol w:w="2000"/>
        <w:gridCol w:w="1738"/>
      </w:tblGrid>
      <w:tr>
        <w:trPr>
          <w:tblHeader/>
        </w:trPr>
        <w:tc>
          <w:tcPr>
            <w:tcW w:type="dxa" w:w="7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Nr</w:t>
            </w:r>
          </w:p>
        </w:tc>
        <w:tc>
          <w:tcPr>
            <w:tcW w:type="dxa" w:w="52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Punkt</w:t>
            </w:r>
          </w:p>
        </w:tc>
        <w:tc>
          <w:tcPr>
            <w:tcW w:type="dxa" w:w="20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Entscheidet</w:t>
            </w:r>
          </w:p>
        </w:tc>
        <w:tc>
          <w:tcPr>
            <w:tcW w:type="dxa" w:w="17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Stand</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Zielformat bleibt CSV</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entschieden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2</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Ablageort Netzlaufwerk</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entschieden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3</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Abschalttermin des Altportals — daraus folgt der Endtermin</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Programmleitung</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4</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Zugang zum bestehenden Erzeugungscode: wer betreut ihn, wo liegt er?</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IT-Betrieb</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5</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Produktive Referenzdateien für den Abnahmevergleich beschaffen</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Betrieb Altportal</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6</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Kodierung der Originaldatei feststellen — entscheidet die Werkzeugwahl</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Fachbereich</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7</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 14a und Einspeiser: ein Format oder zwei? Ein Mechanismus oder zwei?</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IT-Architektur</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8</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Reihenfolge der Ablösung beider Strecken</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Programmleitung</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9</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Werkzeugwahl — folgt aus Punkt 6</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IT-Architektur</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10</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Wird Databricks bereits produktiv betrieben?</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IT-Architektur</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11</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Pfad und Schreibrechte auf dem Netzlaufwerk für den neuen Lauf</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IT-Betrieb</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12</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Wie wird heute ein fehlgeschlagener Import bemerkt?</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SAP-Betrieb</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13</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Woher holt die bestehende Erzeugung MaLo-ID, Zähler, IBAN, USt-Status, MaStR?</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IT-Betrieb</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14</w:t>
            </w:r>
          </w:p>
        </w:tc>
        <w:tc>
          <w:tcPr>
            <w:tcW w:type="dxa" w:w="52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Dauer des Parallelbetriebs und Kriterium für die Umschaltung</w:t>
            </w:r>
          </w:p>
        </w:tc>
        <w:tc>
          <w:tcPr>
            <w:tcW w:type="dxa" w:w="20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Fachbereich + IT</w:t>
            </w:r>
          </w:p>
        </w:tc>
        <w:tc>
          <w:tcPr>
            <w:tcW w:type="dxa" w:w="17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r>
        <w:tc>
          <w:tcPr>
            <w:tcW w:type="dxa" w:w="7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15</w:t>
            </w:r>
          </w:p>
        </w:tc>
        <w:tc>
          <w:tcPr>
            <w:tcW w:type="dxa" w:w="52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Bekannte Schwachstellen: welche werden mit abgelöst, welche später?</w:t>
            </w:r>
          </w:p>
        </w:tc>
        <w:tc>
          <w:tcPr>
            <w:tcW w:type="dxa" w:w="20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Fachbereich</w:t>
            </w:r>
          </w:p>
        </w:tc>
        <w:tc>
          <w:tcPr>
            <w:tcW w:type="dxa" w:w="17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offen</w:t>
            </w:r>
          </w:p>
        </w:tc>
      </w:tr>
    </w:tbl>
    <w:p>
      <w:pPr>
        <w:spacing w:after="200"/>
      </w:pPr>
    </w:p>
    <w:p>
      <w:pPr>
        <w:pStyle w:val="Heading2"/>
        <w:spacing w:after="140" w:before="280"/>
      </w:pPr>
      <w:r>
        <w:rPr>
          <w:rFonts w:ascii="Arial" w:cs="Arial" w:eastAsia="Arial" w:hAnsi="Arial"/>
          <w:b/>
          <w:bCs/>
          <w:color w:val="1A1A1A"/>
          <w:sz w:val="24"/>
          <w:szCs w:val="24"/>
        </w:rPr>
        <w:t xml:space="preserve">Nächste Schritte</w:t>
      </w:r>
    </w:p>
    <w:p>
      <w:pPr>
        <w:pStyle w:val="ListParagraph"/>
        <w:numPr>
          <w:ilvl w:val="0"/>
          <w:numId w:val="2"/>
        </w:numPr>
        <w:spacing w:after="80" w:line="280"/>
      </w:pPr>
      <w:r>
        <w:rPr>
          <w:rFonts w:ascii="Arial" w:cs="Arial" w:eastAsia="Arial" w:hAnsi="Arial"/>
          <w:b/>
          <w:bCs/>
          <w:color w:val="1A1A1A"/>
          <w:sz w:val="21"/>
          <w:szCs w:val="21"/>
        </w:rPr>
        <w:t xml:space="preserve">Zugang zum bestehenden Erzeugungscode klären </w:t>
      </w:r>
      <w:r>
        <w:rPr>
          <w:rFonts w:ascii="Arial" w:cs="Arial" w:eastAsia="Arial" w:hAnsi="Arial"/>
          <w:color w:val="1A1A1A"/>
          <w:sz w:val="21"/>
          <w:szCs w:val="21"/>
        </w:rPr>
        <w:t xml:space="preserve">— liefert Mapping, Transformationen und Prüfregeln auf einmal</w:t>
      </w:r>
    </w:p>
    <w:p>
      <w:pPr>
        <w:pStyle w:val="ListParagraph"/>
        <w:numPr>
          <w:ilvl w:val="0"/>
          <w:numId w:val="2"/>
        </w:numPr>
        <w:spacing w:after="80" w:line="280"/>
      </w:pPr>
      <w:r>
        <w:rPr>
          <w:rFonts w:ascii="Arial" w:cs="Arial" w:eastAsia="Arial" w:hAnsi="Arial"/>
          <w:b/>
          <w:bCs/>
          <w:color w:val="1A1A1A"/>
          <w:sz w:val="21"/>
          <w:szCs w:val="21"/>
        </w:rPr>
        <w:t xml:space="preserve">Produktive Originaldateien beider Strecken beschaffen </w:t>
      </w:r>
      <w:r>
        <w:rPr>
          <w:rFonts w:ascii="Arial" w:cs="Arial" w:eastAsia="Arial" w:hAnsi="Arial"/>
          <w:color w:val="1A1A1A"/>
          <w:sz w:val="21"/>
          <w:szCs w:val="21"/>
        </w:rPr>
        <w:t xml:space="preserve">— klärt die Kodierung und ist zugleich der Referenzsatz für die Abnahme</w:t>
      </w:r>
    </w:p>
    <w:p>
      <w:pPr>
        <w:pStyle w:val="ListParagraph"/>
        <w:numPr>
          <w:ilvl w:val="0"/>
          <w:numId w:val="2"/>
        </w:numPr>
        <w:spacing w:after="80" w:line="280"/>
      </w:pPr>
      <w:r>
        <w:rPr>
          <w:rFonts w:ascii="Arial" w:cs="Arial" w:eastAsia="Arial" w:hAnsi="Arial"/>
          <w:b/>
          <w:bCs/>
          <w:color w:val="1A1A1A"/>
          <w:sz w:val="21"/>
          <w:szCs w:val="21"/>
        </w:rPr>
        <w:t xml:space="preserve">Abschalttermin des Altportals erfragen </w:t>
      </w:r>
      <w:r>
        <w:rPr>
          <w:rFonts w:ascii="Arial" w:cs="Arial" w:eastAsia="Arial" w:hAnsi="Arial"/>
          <w:color w:val="1A1A1A"/>
          <w:sz w:val="21"/>
          <w:szCs w:val="21"/>
        </w:rPr>
        <w:t xml:space="preserve">— setzt den Rahmen für die gesamte Planung</w:t>
      </w:r>
    </w:p>
    <w:p>
      <w:pPr>
        <w:pStyle w:val="ListParagraph"/>
        <w:numPr>
          <w:ilvl w:val="0"/>
          <w:numId w:val="2"/>
        </w:numPr>
        <w:spacing w:after="80" w:line="280"/>
      </w:pPr>
      <w:r>
        <w:rPr>
          <w:rFonts w:ascii="Arial" w:cs="Arial" w:eastAsia="Arial" w:hAnsi="Arial"/>
          <w:color w:val="1A1A1A"/>
          <w:sz w:val="21"/>
          <w:szCs w:val="21"/>
        </w:rPr>
        <w:t xml:space="preserve">Klären, ob § 14a und Einspeiser gemeinsam behandelt werden können</w:t>
      </w:r>
    </w:p>
    <w:p>
      <w:r>
        <w:br w:type="page"/>
      </w:r>
    </w:p>
    <w:p>
      <w:pPr>
        <w:pStyle w:val="Heading1"/>
        <w:spacing w:after="200" w:before="360"/>
      </w:pPr>
      <w:r>
        <w:rPr>
          <w:rFonts w:ascii="Arial" w:cs="Arial" w:eastAsia="Arial" w:hAnsi="Arial"/>
          <w:b/>
          <w:bCs/>
          <w:color w:val="0E5A69"/>
          <w:sz w:val="30"/>
          <w:szCs w:val="30"/>
        </w:rPr>
        <w:t xml:space="preserve">Anhang A  epilot-Plattform im Überblick</w:t>
      </w:r>
    </w:p>
    <w:p>
      <w:pPr>
        <w:spacing w:after="120" w:line="280"/>
      </w:pPr>
      <w:r>
        <w:rPr>
          <w:rFonts w:ascii="Arial" w:cs="Arial" w:eastAsia="Arial" w:hAnsi="Arial"/>
          <w:color w:val="1A1A1A"/>
          <w:sz w:val="21"/>
          <w:szCs w:val="21"/>
        </w:rPr>
        <w:t xml:space="preserve">epilot ist kein Monolith mit einer Schnittstelle, sondern eine Sammlung eigenständiger Dienste — 51 APIs mit zusammen 1141 Operationen. Jeder Dienst hat eine eigene Adresse; Authentifizierung und Fehlerformat sind einheitlich. Der Einstieg ist praktisch immer die Entity-API: Kontakte, Aufträge, Produkte und Anfragen sind Entities mit konfigurierbarem Datenmodell.</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3200"/>
        <w:gridCol w:w="5138"/>
        <w:gridCol w:w="1300"/>
      </w:tblGrid>
      <w:tr>
        <w:trPr>
          <w:tblHeader/>
        </w:trPr>
        <w:tc>
          <w:tcPr>
            <w:tcW w:type="dxa" w:w="32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Domäne</w:t>
            </w:r>
          </w:p>
        </w:tc>
        <w:tc>
          <w:tcPr>
            <w:tcW w:type="dxa" w:w="51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Beispiele</w:t>
            </w:r>
          </w:p>
        </w:tc>
        <w:tc>
          <w:tcPr>
            <w:tcW w:type="dxa" w:w="13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APIs</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Daten und Modell</w:t>
            </w:r>
          </w:p>
        </w:tc>
        <w:tc>
          <w:tcPr>
            <w:tcW w:type="dxa" w:w="5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Entity, Query, Deduplizierung, Datenmodell-Verwaltung</w:t>
            </w:r>
          </w:p>
        </w:tc>
        <w:tc>
          <w:tcPr>
            <w:tcW w:type="dxa" w:w="13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11</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Vertrieb und Kundenschnittstelle</w:t>
            </w:r>
          </w:p>
        </w:tc>
        <w:tc>
          <w:tcPr>
            <w:tcW w:type="dxa" w:w="5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Journey, Preise, Kundenportal, Partner</w:t>
            </w:r>
          </w:p>
        </w:tc>
        <w:tc>
          <w:tcPr>
            <w:tcW w:type="dxa" w:w="13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9</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Prozesse und Automatisierung</w:t>
            </w:r>
          </w:p>
        </w:tc>
        <w:tc>
          <w:tcPr>
            <w:tcW w:type="dxa" w:w="5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Workflows, Automationen, Kanban, Kalender</w:t>
            </w:r>
          </w:p>
        </w:tc>
        <w:tc>
          <w:tcPr>
            <w:tcW w:type="dxa" w:w="13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8</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Kommunikation und Dokumente</w:t>
            </w:r>
          </w:p>
        </w:tc>
        <w:tc>
          <w:tcPr>
            <w:tcW w:type="dxa" w:w="5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Nachrichten, Vorlagen, Dateiablage</w:t>
            </w:r>
          </w:p>
        </w:tc>
        <w:tc>
          <w:tcPr>
            <w:tcW w:type="dxa" w:w="13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7</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Abrechnung und Messwesen</w:t>
            </w:r>
          </w:p>
        </w:tc>
        <w:tc>
          <w:tcPr>
            <w:tcW w:type="dxa" w:w="5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Billing, Metering</w:t>
            </w:r>
          </w:p>
        </w:tc>
        <w:tc>
          <w:tcPr>
            <w:tcW w:type="dxa" w:w="13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2</w:t>
            </w:r>
          </w:p>
        </w:tc>
      </w:tr>
      <w:tr>
        <w:tc>
          <w:tcPr>
            <w:tcW w:type="dxa" w:w="32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Plattform und Zugriff</w:t>
            </w:r>
          </w:p>
        </w:tc>
        <w:tc>
          <w:tcPr>
            <w:tcW w:type="dxa" w:w="51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Apps, Webhooks, Tokens, Nutzer, Rechte</w:t>
            </w:r>
          </w:p>
        </w:tc>
        <w:tc>
          <w:tcPr>
            <w:tcW w:type="dxa" w:w="1300"/>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11</w:t>
            </w:r>
          </w:p>
        </w:tc>
      </w:tr>
      <w:tr>
        <w:tc>
          <w:tcPr>
            <w:tcW w:type="dxa" w:w="32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Hilfsdienste</w:t>
            </w:r>
          </w:p>
        </w:tc>
        <w:tc>
          <w:tcPr>
            <w:tcW w:type="dxa" w:w="51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Adresse, IBAN-Prüfung</w:t>
            </w:r>
          </w:p>
        </w:tc>
        <w:tc>
          <w:tcPr>
            <w:tcW w:type="dxa" w:w="1300"/>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3</w:t>
            </w:r>
          </w:p>
        </w:tc>
      </w:tr>
    </w:tbl>
    <w:p>
      <w:pPr>
        <w:pStyle w:val="Heading3"/>
        <w:spacing w:after="100" w:before="200"/>
      </w:pPr>
      <w:r>
        <w:rPr>
          <w:rFonts w:ascii="Arial" w:cs="Arial" w:eastAsia="Arial" w:hAnsi="Arial"/>
          <w:b/>
          <w:bCs/>
          <w:color w:val="5A6A73"/>
          <w:sz w:val="21"/>
          <w:szCs w:val="21"/>
        </w:rPr>
        <w:t xml:space="preserve">Zwei Fallstricke bei der Anbindung</w:t>
      </w:r>
    </w:p>
    <w:p>
      <w:pPr>
        <w:pStyle w:val="ListParagraph"/>
        <w:numPr>
          <w:ilvl w:val="0"/>
          <w:numId w:val="2"/>
        </w:numPr>
        <w:spacing w:after="80" w:line="280"/>
      </w:pPr>
      <w:r>
        <w:rPr>
          <w:rFonts w:ascii="Arial" w:cs="Arial" w:eastAsia="Arial" w:hAnsi="Arial"/>
          <w:b/>
          <w:bCs/>
          <w:color w:val="1A1A1A"/>
          <w:sz w:val="21"/>
          <w:szCs w:val="21"/>
        </w:rPr>
        <w:t xml:space="preserve">Vier getrennte Zugangsarten. </w:t>
      </w:r>
      <w:r>
        <w:rPr>
          <w:rFonts w:ascii="Arial" w:cs="Arial" w:eastAsia="Arial" w:hAnsi="Arial"/>
          <w:color w:val="1A1A1A"/>
          <w:sz w:val="21"/>
          <w:szCs w:val="21"/>
        </w:rPr>
        <w:t xml:space="preserve">Mitarbeiter- und Integrationszugriff, anonymer Zugriff aus einer Online-Strecke, Portalnutzer und externe Identitätsanbieter werden unterschiedlich authentifiziert.</w:t>
      </w:r>
    </w:p>
    <w:p>
      <w:pPr>
        <w:pStyle w:val="ListParagraph"/>
        <w:numPr>
          <w:ilvl w:val="0"/>
          <w:numId w:val="2"/>
        </w:numPr>
        <w:spacing w:after="80" w:line="280"/>
      </w:pPr>
      <w:r>
        <w:rPr>
          <w:rFonts w:ascii="Arial" w:cs="Arial" w:eastAsia="Arial" w:hAnsi="Arial"/>
          <w:b/>
          <w:bCs/>
          <w:color w:val="1A1A1A"/>
          <w:sz w:val="21"/>
          <w:szCs w:val="21"/>
        </w:rPr>
        <w:t xml:space="preserve">Der Header für den Organisationskontext ist nicht einheitlich benannt. </w:t>
      </w:r>
      <w:r>
        <w:rPr>
          <w:rFonts w:ascii="Arial" w:cs="Arial" w:eastAsia="Arial" w:hAnsi="Arial"/>
          <w:color w:val="1A1A1A"/>
          <w:sz w:val="21"/>
          <w:szCs w:val="21"/>
        </w:rPr>
        <w:t xml:space="preserve">In den meisten Diensten heißt er x-epilot-org-id, in einigen x-ivy-org-id.</w:t>
      </w:r>
    </w:p>
    <w:p>
      <w:pPr>
        <w:spacing w:after="160"/>
      </w:pPr>
    </w:p>
    <w:p>
      <w:pPr>
        <w:pStyle w:val="Heading1"/>
        <w:spacing w:after="200" w:before="360"/>
      </w:pPr>
      <w:r>
        <w:rPr>
          <w:rFonts w:ascii="Arial" w:cs="Arial" w:eastAsia="Arial" w:hAnsi="Arial"/>
          <w:b/>
          <w:bCs/>
          <w:color w:val="0E5A69"/>
          <w:sz w:val="30"/>
          <w:szCs w:val="30"/>
        </w:rPr>
        <w:t xml:space="preserve">Anhang B  Ablage der Arbeitsergebnisse</w:t>
      </w:r>
    </w:p>
    <w:p>
      <w:pPr>
        <w:spacing w:after="120" w:line="280"/>
      </w:pPr>
      <w:r>
        <w:rPr>
          <w:rFonts w:ascii="Arial" w:cs="Arial" w:eastAsia="Arial" w:hAnsi="Arial"/>
          <w:color w:val="1A1A1A"/>
          <w:sz w:val="21"/>
          <w:szCs w:val="21"/>
        </w:rPr>
        <w:t xml:space="preserve">Alle Unterlagen liegen im Repository StefanStanley/Claude im Ordner epilot:</w:t>
      </w:r>
    </w:p>
    <w:tbl>
      <w:tblPr>
        <w:tblW w:type="dxa" w:w="9638"/>
        <w:tblBorders>
          <w:top w:val="single" w:color="C9D3D9" w:sz="4"/>
          <w:left w:val="none" w:color="FFFFFF" w:sz="0"/>
          <w:bottom w:val="single" w:color="C9D3D9" w:sz="4"/>
          <w:right w:val="none" w:color="FFFFFF" w:sz="0"/>
          <w:insideH w:val="single" w:color="C9D3D9" w:sz="2"/>
          <w:insideV w:val="none" w:color="FFFFFF" w:sz="0"/>
        </w:tblBorders>
      </w:tblPr>
      <w:tblGrid>
        <w:gridCol w:w="4400"/>
        <w:gridCol w:w="5238"/>
      </w:tblGrid>
      <w:tr>
        <w:trPr>
          <w:tblHeader/>
        </w:trPr>
        <w:tc>
          <w:tcPr>
            <w:tcW w:type="dxa" w:w="4400"/>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Pfad</w:t>
            </w:r>
          </w:p>
        </w:tc>
        <w:tc>
          <w:tcPr>
            <w:tcW w:type="dxa" w:w="5238"/>
            <w:shd w:fill="1F3B42"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Inhalt</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epilot/README.md</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Einstieg und Kurzfassung</w:t>
            </w:r>
          </w:p>
        </w:tc>
      </w:tr>
      <w:tr>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epilot/api-referenz/</w:t>
            </w:r>
          </w:p>
        </w:tc>
        <w:tc>
          <w:tcPr>
            <w:tcW w:type="dxa" w:w="5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51 APIs mit allen Operationen, Authentifizierung</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epilot/schnittstellenkonzept/</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Vorgehen, Vorlage, Beispiel, SK-001 im Volltext</w:t>
            </w:r>
          </w:p>
        </w:tc>
      </w:tr>
      <w:tr>
        <w:tc>
          <w:tcPr>
            <w:tcW w:type="dxa" w:w="4400"/>
            <w:shd w:fill="F2F5F6" w:color="auto" w:val="clear"/>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epilot/schnittstellenkonzept/erhebung/</w:t>
            </w:r>
          </w:p>
        </w:tc>
        <w:tc>
          <w:tcPr>
            <w:tcW w:type="dxa" w:w="5238"/>
            <w:shd w:fill="F2F5F6" w:color="auto" w:val="clear"/>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Arbeitsmappe für die SAP-Seite</w:t>
            </w:r>
          </w:p>
        </w:tc>
      </w:tr>
      <w:tr>
        <w:tc>
          <w:tcPr>
            <w:tcW w:type="dxa" w:w="4400"/>
            <w:tcMar>
              <w:top w:type="dxa" w:w="70"/>
              <w:left w:type="dxa" w:w="110"/>
              <w:bottom w:type="dxa" w:w="70"/>
              <w:right w:type="dxa" w:w="110"/>
            </w:tcMar>
          </w:tcPr>
          <w:p>
            <w:pPr>
              <w:spacing w:after="0" w:line="260"/>
            </w:pPr>
            <w:r>
              <w:rPr>
                <w:rFonts w:ascii="Arial" w:cs="Arial" w:eastAsia="Arial" w:hAnsi="Arial"/>
                <w:b/>
                <w:bCs/>
                <w:color w:val="1A1A1A"/>
                <w:sz w:val="19"/>
                <w:szCs w:val="19"/>
              </w:rPr>
              <w:t xml:space="preserve">epilot/schnittstellenkonzept/umsetzung/</w:t>
            </w:r>
          </w:p>
        </w:tc>
        <w:tc>
          <w:tcPr>
            <w:tcW w:type="dxa" w:w="5238"/>
            <w:tcMar>
              <w:top w:type="dxa" w:w="70"/>
              <w:left w:type="dxa" w:w="110"/>
              <w:bottom w:type="dxa" w:w="70"/>
              <w:right w:type="dxa" w:w="110"/>
            </w:tcMar>
          </w:tcPr>
          <w:p>
            <w:pPr>
              <w:spacing w:after="0" w:line="260"/>
            </w:pPr>
            <w:r>
              <w:rPr>
                <w:rFonts w:ascii="Arial" w:cs="Arial" w:eastAsia="Arial" w:hAnsi="Arial"/>
                <w:b w:val="false"/>
                <w:bCs w:val="false"/>
                <w:color w:val="1A1A1A"/>
                <w:sz w:val="19"/>
                <w:szCs w:val="19"/>
              </w:rPr>
              <w:t xml:space="preserve">Export-Lauf mit Tests und Konfigurationsvorlage</w:t>
            </w:r>
          </w:p>
        </w:tc>
      </w:tr>
    </w:tbl>
    <w:p>
      <w:pPr>
        <w:spacing w:after="200"/>
      </w:pPr>
    </w:p>
    <w:p>
      <w:pPr>
        <w:spacing w:after="120" w:line="280"/>
      </w:pPr>
      <w:r>
        <w:rPr>
          <w:rFonts w:ascii="Arial" w:cs="Arial" w:eastAsia="Arial" w:hAnsi="Arial"/>
          <w:i/>
          <w:iCs/>
          <w:color w:val="5A6A73"/>
          <w:sz w:val="21"/>
          <w:szCs w:val="21"/>
        </w:rPr>
        <w:t xml:space="preserve">Die API-Referenz wurde aus den offiziellen OpenAPI-Spezifikationen des epilot-SDK erzeugt, nicht aus abgeschriebener Dokumentation, und lässt sich jederzeit neu erzeugen.</w:t>
      </w:r>
    </w:p>
    <w:sectPr>
      <w:headerReference w:type="default" r:id="rId7"/>
      <w:footerReference w:type="default" r:id="rId8"/>
      <w:pgSz w:w="11905" w:h="16837" w:orient="portrait"/>
      <w:pgMar w:top="1247" w:right="1133"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A73"/>
        <w:sz w:val="16"/>
        <w:szCs w:val="16"/>
      </w:rPr>
      <w:t xml:space="preserve">Seite </w:t>
    </w:r>
    <w:r>
      <w:rPr>
        <w:rFonts w:ascii="Arial" w:cs="Arial" w:eastAsia="Arial" w:hAnsi="Arial"/>
        <w:color w:val="5A6A73"/>
        <w:sz w:val="16"/>
        <w:szCs w:val="16"/>
      </w:rPr>
      <w:fldChar w:fldCharType="begin"/>
      <w:instrText xml:space="preserve">PAGE</w:instrText>
      <w:fldChar w:fldCharType="separate"/>
      <w:fldChar w:fldCharType="end"/>
    </w:r>
    <w:r>
      <w:rPr>
        <w:rFonts w:ascii="Arial" w:cs="Arial" w:eastAsia="Arial" w:hAnsi="Arial"/>
        <w:color w:val="5A6A73"/>
        <w:sz w:val="16"/>
        <w:szCs w:val="16"/>
      </w:rPr>
      <w:t xml:space="preserve"> von </w:t>
    </w:r>
    <w:r>
      <w:rPr>
        <w:rFonts w:ascii="Arial" w:cs="Arial" w:eastAsia="Arial" w:hAnsi="Arial"/>
        <w:color w:val="5A6A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9" w:sz="4" w:space="6"/>
      </w:pBdr>
      <w:spacing w:after="120"/>
      <w:jc w:val="right"/>
    </w:pPr>
    <w:r>
      <w:rPr>
        <w:rFonts w:ascii="Arial" w:cs="Arial" w:eastAsia="Arial" w:hAnsi="Arial"/>
        <w:color w:val="5A6A73"/>
        <w:sz w:val="16"/>
        <w:szCs w:val="16"/>
      </w:rPr>
      <w:t xml:space="preserve">SK-001 · Einspeiseanlagen aus epilot nach SAP · Entwurf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E5A6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SK-001 — Einspeiseanlagen aus epilot nach SAP</dc:title>
  <dc:creator>Cluster Digitalisierung, Data &amp; AI</dc:creator>
  <dc:description>Schnittstellenkonzept und Entscheidungsvorlage</dc:description>
  <cp:lastModifiedBy>Un-named</cp:lastModifiedBy>
  <cp:revision>1</cp:revision>
  <dcterms:created xsi:type="dcterms:W3CDTF">2026-09-07T08:46:04.097Z</dcterms:created>
  <dcterms:modified xsi:type="dcterms:W3CDTF">2026-09-07T08:46:04.113Z</dcterms:modified>
</cp:coreProperties>
</file>

<file path=docProps/custom.xml><?xml version="1.0" encoding="utf-8"?>
<Properties xmlns="http://schemas.openxmlformats.org/officeDocument/2006/custom-properties" xmlns:vt="http://schemas.openxmlformats.org/officeDocument/2006/docPropsVTypes"/>
</file>