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Arial" w:cs="Arial" w:eastAsia="Arial" w:hAnsi="Arial"/>
          <w:b/>
          <w:bCs/>
          <w:color w:val="0E5A69"/>
          <w:spacing w:val="60"/>
          <w:sz w:val="20"/>
          <w:szCs w:val="20"/>
        </w:rPr>
        <w:t xml:space="preserve">SK-001</w:t>
      </w:r>
    </w:p>
    <w:p>
      <w:pPr>
        <w:spacing w:after="100" w:before="160"/>
      </w:pPr>
      <w:r>
        <w:rPr>
          <w:rFonts w:ascii="Arial" w:cs="Arial" w:eastAsia="Arial" w:hAnsi="Arial"/>
          <w:b/>
          <w:bCs/>
          <w:color w:val="1A1A1A"/>
          <w:sz w:val="52"/>
          <w:szCs w:val="52"/>
        </w:rPr>
        <w:t xml:space="preserve">Einspeiseanlagen aus epilot nach SAP</w:t>
      </w:r>
    </w:p>
    <w:p>
      <w:pPr>
        <w:spacing w:after="400"/>
      </w:pPr>
      <w:r>
        <w:rPr>
          <w:rFonts w:ascii="Arial" w:cs="Arial" w:eastAsia="Arial" w:hAnsi="Arial"/>
          <w:color w:val="5A6A73"/>
          <w:sz w:val="26"/>
          <w:szCs w:val="26"/>
        </w:rPr>
        <w:t xml:space="preserve">Schnittstellenkonzept und Entscheidungsvorlage</w:t>
      </w:r>
    </w:p>
    <w:p>
      <w:pPr>
        <w:pBdr>
          <w:top w:val="single" w:color="0E5A69" w:sz="12" w:space="12"/>
        </w:pBdr>
        <w:spacing w:after="60"/>
      </w:pP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2400"/>
        <w:gridCol w:w="7238"/>
      </w:tblGrid>
      <w:tr>
        <w:trPr>
          <w:tblHeader/>
        </w:trPr>
        <w:tc>
          <w:tcPr>
            <w:tcW w:type="dxa" w:w="2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Feld</w:t>
            </w:r>
          </w:p>
        </w:tc>
        <w:tc>
          <w:tcPr>
            <w:tcW w:type="dxa" w:w="72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Angabe</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Vorhaben</w:t>
            </w:r>
          </w:p>
        </w:tc>
        <w:tc>
          <w:tcPr>
            <w:tcW w:type="dxa" w:w="7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Einführung epilot als Anmeldeportal für den Netzanschluss von Einspeiseanlagen</w:t>
            </w:r>
          </w:p>
        </w:tc>
      </w:tr>
      <w:tr>
        <w:tc>
          <w:tcPr>
            <w:tcW w:type="dxa" w:w="2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Gegenstand</w:t>
            </w:r>
          </w:p>
        </w:tc>
        <w:tc>
          <w:tcPr>
            <w:tcW w:type="dxa" w:w="72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Übergabe der Stammdaten für die EEG-Abrechnung an SAP</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Stand</w:t>
            </w:r>
          </w:p>
        </w:tc>
        <w:tc>
          <w:tcPr>
            <w:tcW w:type="dxa" w:w="7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Entwurf 0.5 · 07.09.2026</w:t>
            </w:r>
          </w:p>
        </w:tc>
      </w:tr>
      <w:tr>
        <w:tc>
          <w:tcPr>
            <w:tcW w:type="dxa" w:w="2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Zweck</w:t>
            </w:r>
          </w:p>
        </w:tc>
        <w:tc>
          <w:tcPr>
            <w:tcW w:type="dxa" w:w="72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Interne Abstimmung — Entscheidung zur Werkzeugwahl und zum weiteren Vorgehen</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Erstellt von</w:t>
            </w:r>
          </w:p>
        </w:tc>
        <w:tc>
          <w:tcPr>
            <w:tcW w:type="dxa" w:w="7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Cluster Digitalisierung, Data &amp; AI</w:t>
            </w:r>
          </w:p>
        </w:tc>
      </w:tr>
    </w:tbl>
    <w:p>
      <w:pPr>
        <w:spacing w:after="300"/>
      </w:pPr>
    </w:p>
    <w:p>
      <w:pPr>
        <w:pBdr>
          <w:left w:val="single" w:color="8A5510" w:sz="18" w:space="12"/>
        </w:pBdr>
        <w:spacing w:after="160" w:before="160" w:line="280"/>
        <w:ind w:left="280"/>
      </w:pPr>
      <w:r>
        <w:rPr>
          <w:rFonts w:ascii="Arial" w:cs="Arial" w:eastAsia="Arial" w:hAnsi="Arial"/>
          <w:i/>
          <w:iCs/>
          <w:color w:val="8A5510"/>
          <w:sz w:val="20"/>
          <w:szCs w:val="20"/>
        </w:rPr>
        <w:t xml:space="preserve">Dieses Dokument fasst den Arbeitsstand zusammen. Es enthält getroffene Festlegungen, eine Entscheidungsvorlage zur Werkzeugwahl und die offenen Punkte mit Zuordnung. Aufwandsangaben sind Größenordnungen für die Planung, keine belastbaren Schätzungen.</w:t>
      </w:r>
    </w:p>
    <w:p>
      <w:r>
        <w:br w:type="page"/>
      </w:r>
    </w:p>
    <w:p>
      <w:pPr>
        <w:pStyle w:val="Heading1"/>
        <w:spacing w:after="200" w:before="360"/>
      </w:pPr>
      <w:r>
        <w:rPr>
          <w:rFonts w:ascii="Arial" w:cs="Arial" w:eastAsia="Arial" w:hAnsi="Arial"/>
          <w:b/>
          <w:bCs/>
          <w:color w:val="0E5A69"/>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Arial" w:cs="Arial" w:eastAsia="Arial" w:hAnsi="Arial"/>
          <w:b/>
          <w:bCs/>
          <w:color w:val="0E5A69"/>
          <w:sz w:val="30"/>
          <w:szCs w:val="30"/>
        </w:rPr>
        <w:t xml:space="preserve">1  Zusammenfassung</w:t>
      </w:r>
    </w:p>
    <w:p>
      <w:pPr>
        <w:spacing w:after="120" w:line="280"/>
      </w:pPr>
      <w:r>
        <w:rPr>
          <w:rFonts w:ascii="Arial" w:cs="Arial" w:eastAsia="Arial" w:hAnsi="Arial"/>
          <w:color w:val="1A1A1A"/>
          <w:sz w:val="21"/>
          <w:szCs w:val="21"/>
        </w:rPr>
        <w:t xml:space="preserve">Nach bestätigter Inbetriebsetzung einer Einspeiseanlage müssen in SAP die Stammdaten für die EEG-Abrechnung entstehen. SAP liest diese Daten heute aus einer CSV-Datei auf einem Netzlaufwerk. </w:t>
      </w:r>
      <w:r>
        <w:rPr>
          <w:rFonts w:ascii="Arial" w:cs="Arial" w:eastAsia="Arial" w:hAnsi="Arial"/>
          <w:b/>
          <w:bCs/>
          <w:color w:val="1A1A1A"/>
          <w:sz w:val="21"/>
          <w:szCs w:val="21"/>
        </w:rPr>
        <w:t xml:space="preserve">Diese Datei wird gegenwärtig von Hand erzeugt.</w:t>
      </w:r>
    </w:p>
    <w:p>
      <w:pPr>
        <w:spacing w:after="120" w:line="280"/>
      </w:pPr>
      <w:r>
        <w:rPr>
          <w:rFonts w:ascii="Arial" w:cs="Arial" w:eastAsia="Arial" w:hAnsi="Arial"/>
          <w:color w:val="1A1A1A"/>
          <w:sz w:val="21"/>
          <w:szCs w:val="21"/>
        </w:rPr>
        <w:t xml:space="preserve">Damit wird kein System abgelöst, sondern ein Handgriff automatisiert. Das Zielformat bleibt unverändert — aus Sicht von SAP ist die Umstellung unsichtbar. Das ist die risikoärmste Variante und macht die Abnahme zu einem Dateivergleich.</w:t>
      </w:r>
    </w:p>
    <w:p>
      <w:pPr>
        <w:pStyle w:val="Heading3"/>
        <w:spacing w:after="100" w:before="200"/>
      </w:pPr>
      <w:r>
        <w:rPr>
          <w:rFonts w:ascii="Arial" w:cs="Arial" w:eastAsia="Arial" w:hAnsi="Arial"/>
          <w:b/>
          <w:bCs/>
          <w:color w:val="5A6A73"/>
          <w:sz w:val="21"/>
          <w:szCs w:val="21"/>
        </w:rPr>
        <w:t xml:space="preserve">Die drei Kernaussagen</w:t>
      </w:r>
    </w:p>
    <w:p>
      <w:pPr>
        <w:spacing w:after="120" w:line="280"/>
      </w:pPr>
      <w:r>
        <w:rPr>
          <w:rFonts w:ascii="Arial" w:cs="Arial" w:eastAsia="Arial" w:hAnsi="Arial"/>
          <w:b/>
          <w:bCs/>
          <w:color w:val="1A1A1A"/>
          <w:sz w:val="21"/>
          <w:szCs w:val="21"/>
        </w:rPr>
        <w:t xml:space="preserve">Der Auslöser ist die Inbetriebsetzung, nicht die Anmeldung. </w:t>
      </w:r>
      <w:r>
        <w:rPr>
          <w:rFonts w:ascii="Arial" w:cs="Arial" w:eastAsia="Arial" w:hAnsi="Arial"/>
          <w:color w:val="1A1A1A"/>
          <w:sz w:val="21"/>
          <w:szCs w:val="21"/>
        </w:rPr>
        <w:t xml:space="preserve">Anmeldedaten sind keine Abrechnungsdaten: Ein Teil der Anmeldungen wird nie realisiert, und die tatsächlich installierte Leistung weicht häufig vom Antrag ab. Maßgeblich ist der Ist-Stand aus dem Inbetriebsetzungsprotokoll.</w:t>
      </w:r>
    </w:p>
    <w:p>
      <w:pPr>
        <w:spacing w:after="120" w:line="280"/>
      </w:pPr>
      <w:r>
        <w:rPr>
          <w:rFonts w:ascii="Arial" w:cs="Arial" w:eastAsia="Arial" w:hAnsi="Arial"/>
          <w:b/>
          <w:bCs/>
          <w:color w:val="1A1A1A"/>
          <w:sz w:val="21"/>
          <w:szCs w:val="21"/>
        </w:rPr>
        <w:t xml:space="preserve">Die Werkzeugwahl entscheidet sich an der Kodierung der heutigen Datei. </w:t>
      </w:r>
      <w:r>
        <w:rPr>
          <w:rFonts w:ascii="Arial" w:cs="Arial" w:eastAsia="Arial" w:hAnsi="Arial"/>
          <w:color w:val="1A1A1A"/>
          <w:sz w:val="21"/>
          <w:szCs w:val="21"/>
        </w:rPr>
        <w:t xml:space="preserve">Ist sie UTF-8 ohne BOM, genügt Power Automate allein. Ist sie Windows-1252 oder UTF-8 mit BOM, scheidet Power Automate für die Dateierzeugung aus. Zehn Minuten mit einer Originaldatei klären das.</w:t>
      </w:r>
    </w:p>
    <w:p>
      <w:pPr>
        <w:spacing w:after="120" w:line="280"/>
      </w:pPr>
      <w:r>
        <w:rPr>
          <w:rFonts w:ascii="Arial" w:cs="Arial" w:eastAsia="Arial" w:hAnsi="Arial"/>
          <w:b/>
          <w:bCs/>
          <w:color w:val="1A1A1A"/>
          <w:sz w:val="21"/>
          <w:szCs w:val="21"/>
        </w:rPr>
        <w:t xml:space="preserve">Das eigentliche Risiko ist nicht technisch. </w:t>
      </w:r>
      <w:r>
        <w:rPr>
          <w:rFonts w:ascii="Arial" w:cs="Arial" w:eastAsia="Arial" w:hAnsi="Arial"/>
          <w:color w:val="1A1A1A"/>
          <w:sz w:val="21"/>
          <w:szCs w:val="21"/>
        </w:rPr>
        <w:t xml:space="preserve">Wer die Datei heute erzeugt, prüft dabei mit: Er entscheidet, welche Vorgänge reif sind, erkennt unplausible Angaben und weiß, wen er bei Sonderfällen fragt. Diese Prüfung ist nirgends dokumentiert und fällt mit der Automatisierung weg.</w:t>
      </w:r>
    </w:p>
    <w:p>
      <w:pPr>
        <w:pBdr>
          <w:left w:val="single" w:color="0E5A69" w:sz="18" w:space="12"/>
        </w:pBdr>
        <w:spacing w:after="180" w:before="180" w:line="280"/>
        <w:ind w:left="280"/>
      </w:pPr>
      <w:r>
        <w:rPr>
          <w:rFonts w:ascii="Arial" w:cs="Arial" w:eastAsia="Arial" w:hAnsi="Arial"/>
          <w:b/>
          <w:bCs/>
          <w:color w:val="1A1A1A"/>
          <w:sz w:val="21"/>
          <w:szCs w:val="21"/>
        </w:rPr>
        <w:t xml:space="preserve">Entscheidungsbedarf in dieser Runde: Werkzeugwahl (Abschnitt 4) und Freigabe des Vorgehens in zwei Stufen (Abschnitt 10).</w:t>
      </w:r>
    </w:p>
    <w:p>
      <w:pPr>
        <w:pStyle w:val="Heading3"/>
        <w:spacing w:after="100" w:before="200"/>
      </w:pPr>
      <w:r>
        <w:rPr>
          <w:rFonts w:ascii="Arial" w:cs="Arial" w:eastAsia="Arial" w:hAnsi="Arial"/>
          <w:b/>
          <w:bCs/>
          <w:color w:val="5A6A73"/>
          <w:sz w:val="21"/>
          <w:szCs w:val="21"/>
        </w:rPr>
        <w:t xml:space="preserve">Stand der Arbeiten</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4400"/>
        <w:gridCol w:w="5238"/>
      </w:tblGrid>
      <w:tr>
        <w:trPr>
          <w:tblHeader/>
        </w:trPr>
        <w:tc>
          <w:tcPr>
            <w:tcW w:type="dxa" w:w="4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Ergebnis</w:t>
            </w:r>
          </w:p>
        </w:tc>
        <w:tc>
          <w:tcPr>
            <w:tcW w:type="dxa" w:w="52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Stand</w:t>
            </w:r>
          </w:p>
        </w:tc>
      </w:tr>
      <w:tr>
        <w:tc>
          <w:tcPr>
            <w:tcW w:type="dxa" w:w="4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Fachliches Konzept</w:t>
            </w:r>
          </w:p>
        </w:tc>
        <w:tc>
          <w:tcPr>
            <w:tcW w:type="dxa" w:w="5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Entwurf 0.5, Abschnitte 2 bis 9 dieses Dokuments</w:t>
            </w:r>
          </w:p>
        </w:tc>
      </w:tr>
      <w:tr>
        <w:tc>
          <w:tcPr>
            <w:tcW w:type="dxa" w:w="4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Erhebungsmappe für die SAP-Seite</w:t>
            </w:r>
          </w:p>
        </w:tc>
        <w:tc>
          <w:tcPr>
            <w:tcW w:type="dxa" w:w="52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fertig, kann versendet werden</w:t>
            </w:r>
          </w:p>
        </w:tc>
      </w:tr>
      <w:tr>
        <w:tc>
          <w:tcPr>
            <w:tcW w:type="dxa" w:w="4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Export-Job</w:t>
            </w:r>
          </w:p>
        </w:tc>
        <w:tc>
          <w:tcPr>
            <w:tcW w:type="dxa" w:w="5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lauffähig gegen Testdaten, 22 automatisierte Tests</w:t>
            </w:r>
          </w:p>
        </w:tc>
      </w:tr>
      <w:tr>
        <w:tc>
          <w:tcPr>
            <w:tcW w:type="dxa" w:w="4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epilot-API-Referenz</w:t>
            </w:r>
          </w:p>
        </w:tc>
        <w:tc>
          <w:tcPr>
            <w:tcW w:type="dxa" w:w="52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51 APIs, 1141 Operationen dokumentiert</w:t>
            </w:r>
          </w:p>
        </w:tc>
      </w:tr>
      <w:tr>
        <w:tc>
          <w:tcPr>
            <w:tcW w:type="dxa" w:w="4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Feldmapping</w:t>
            </w:r>
          </w:p>
        </w:tc>
        <w:tc>
          <w:tcPr>
            <w:tcW w:type="dxa" w:w="5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 — hängt am Rücklauf der Erhebungsmappe</w:t>
            </w:r>
          </w:p>
        </w:tc>
      </w:tr>
      <w:tr>
        <w:tc>
          <w:tcPr>
            <w:tcW w:type="dxa" w:w="4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Prüfregeln</w:t>
            </w:r>
          </w:p>
        </w:tc>
        <w:tc>
          <w:tcPr>
            <w:tcW w:type="dxa" w:w="52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 — hängen am Gespräch mit der Sachbearbeitung</w:t>
            </w:r>
          </w:p>
        </w:tc>
      </w:tr>
    </w:tbl>
    <w:p>
      <w:r>
        <w:br w:type="page"/>
      </w:r>
    </w:p>
    <w:p>
      <w:pPr>
        <w:pStyle w:val="Heading1"/>
        <w:spacing w:after="200" w:before="360"/>
      </w:pPr>
      <w:r>
        <w:rPr>
          <w:rFonts w:ascii="Arial" w:cs="Arial" w:eastAsia="Arial" w:hAnsi="Arial"/>
          <w:b/>
          <w:bCs/>
          <w:color w:val="0E5A69"/>
          <w:sz w:val="30"/>
          <w:szCs w:val="30"/>
        </w:rPr>
        <w:t xml:space="preserve">2  Ausgangslage</w:t>
      </w:r>
    </w:p>
    <w:p>
      <w:pPr>
        <w:pStyle w:val="Heading2"/>
        <w:spacing w:after="140" w:before="280"/>
      </w:pPr>
      <w:r>
        <w:rPr>
          <w:rFonts w:ascii="Arial" w:cs="Arial" w:eastAsia="Arial" w:hAnsi="Arial"/>
          <w:b/>
          <w:bCs/>
          <w:color w:val="1A1A1A"/>
          <w:sz w:val="24"/>
          <w:szCs w:val="24"/>
        </w:rPr>
        <w:t xml:space="preserve">2.1  Der fachliche Prozess</w:t>
      </w:r>
    </w:p>
    <w:p>
      <w:pPr>
        <w:spacing w:after="120" w:line="280"/>
      </w:pPr>
      <w:r>
        <w:rPr>
          <w:rFonts w:ascii="Arial" w:cs="Arial" w:eastAsia="Arial" w:hAnsi="Arial"/>
          <w:color w:val="1A1A1A"/>
          <w:sz w:val="21"/>
          <w:szCs w:val="21"/>
        </w:rPr>
        <w:t xml:space="preserve">Zwischen der Anmeldung im Portal und der Abrechnung in SAP liegt die vollständige Prozesskette des Netzanschlusses:</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3200"/>
        <w:gridCol w:w="3800"/>
        <w:gridCol w:w="2638"/>
      </w:tblGrid>
      <w:tr>
        <w:trPr>
          <w:tblHeader/>
        </w:trPr>
        <w:tc>
          <w:tcPr>
            <w:tcW w:type="dxa" w:w="32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Schritt</w:t>
            </w:r>
          </w:p>
        </w:tc>
        <w:tc>
          <w:tcPr>
            <w:tcW w:type="dxa" w:w="38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Ergebnis</w:t>
            </w:r>
          </w:p>
        </w:tc>
        <w:tc>
          <w:tcPr>
            <w:tcW w:type="dxa" w:w="26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System</w:t>
            </w:r>
          </w:p>
        </w:tc>
      </w:tr>
      <w:tr>
        <w:tc>
          <w:tcPr>
            <w:tcW w:type="dxa" w:w="32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1  Anmeldung</w:t>
            </w:r>
          </w:p>
        </w:tc>
        <w:tc>
          <w:tcPr>
            <w:tcW w:type="dxa" w:w="38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Antrag des Betreibers liegt vor</w:t>
            </w:r>
          </w:p>
        </w:tc>
        <w:tc>
          <w:tcPr>
            <w:tcW w:type="dxa" w:w="26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epilot</w:t>
            </w:r>
          </w:p>
        </w:tc>
      </w:tr>
      <w:tr>
        <w:tc>
          <w:tcPr>
            <w:tcW w:type="dxa" w:w="32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2  Netzverträglichkeitsprüfung</w:t>
            </w:r>
          </w:p>
        </w:tc>
        <w:tc>
          <w:tcPr>
            <w:tcW w:type="dxa" w:w="38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technische Machbarkeit geklärt</w:t>
            </w:r>
          </w:p>
        </w:tc>
        <w:tc>
          <w:tcPr>
            <w:tcW w:type="dxa" w:w="26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intern</w:t>
            </w:r>
          </w:p>
        </w:tc>
      </w:tr>
      <w:tr>
        <w:tc>
          <w:tcPr>
            <w:tcW w:type="dxa" w:w="32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3  Anschlusszusage</w:t>
            </w:r>
          </w:p>
        </w:tc>
        <w:tc>
          <w:tcPr>
            <w:tcW w:type="dxa" w:w="38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Zusage erteilt</w:t>
            </w:r>
          </w:p>
        </w:tc>
        <w:tc>
          <w:tcPr>
            <w:tcW w:type="dxa" w:w="26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intern</w:t>
            </w:r>
          </w:p>
        </w:tc>
      </w:tr>
      <w:tr>
        <w:tc>
          <w:tcPr>
            <w:tcW w:type="dxa" w:w="32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4  Errichtung</w:t>
            </w:r>
          </w:p>
        </w:tc>
        <w:tc>
          <w:tcPr>
            <w:tcW w:type="dxa" w:w="38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Anlage gebaut</w:t>
            </w:r>
          </w:p>
        </w:tc>
        <w:tc>
          <w:tcPr>
            <w:tcW w:type="dxa" w:w="26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Elektrofachbetrieb</w:t>
            </w:r>
          </w:p>
        </w:tc>
      </w:tr>
      <w:tr>
        <w:tc>
          <w:tcPr>
            <w:tcW w:type="dxa" w:w="32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5  Inbetriebsetzung</w:t>
            </w:r>
          </w:p>
        </w:tc>
        <w:tc>
          <w:tcPr>
            <w:tcW w:type="dxa" w:w="38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Protokoll und Zählersetzung</w:t>
            </w:r>
          </w:p>
        </w:tc>
        <w:tc>
          <w:tcPr>
            <w:tcW w:type="dxa" w:w="26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intern</w:t>
            </w:r>
          </w:p>
        </w:tc>
      </w:tr>
      <w:tr>
        <w:tc>
          <w:tcPr>
            <w:tcW w:type="dxa" w:w="32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6  Stammdatenanlage</w:t>
            </w:r>
          </w:p>
        </w:tc>
        <w:tc>
          <w:tcPr>
            <w:tcW w:type="dxa" w:w="38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Abrechnung möglich</w:t>
            </w:r>
          </w:p>
        </w:tc>
        <w:tc>
          <w:tcPr>
            <w:tcW w:type="dxa" w:w="26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SAP</w:t>
            </w:r>
          </w:p>
        </w:tc>
      </w:tr>
    </w:tbl>
    <w:p>
      <w:pPr>
        <w:pBdr>
          <w:left w:val="single" w:color="8A5510" w:sz="18" w:space="12"/>
        </w:pBdr>
        <w:spacing w:after="160" w:before="160" w:line="280"/>
        <w:ind w:left="280"/>
      </w:pPr>
      <w:r>
        <w:rPr>
          <w:rFonts w:ascii="Arial" w:cs="Arial" w:eastAsia="Arial" w:hAnsi="Arial"/>
          <w:i/>
          <w:iCs/>
          <w:color w:val="8A5510"/>
          <w:sz w:val="20"/>
          <w:szCs w:val="20"/>
        </w:rPr>
        <w:t xml:space="preserve">Erst mit Schritt 5 entstehen abrechnungsrelevante Daten. Wer die Daten aus Schritt 1 nach SAP überträgt, legt Stammdaten für Anlagen an, die noch nicht existieren — und teils nie existieren werden.</w:t>
      </w:r>
    </w:p>
    <w:p>
      <w:pPr>
        <w:pStyle w:val="Heading2"/>
        <w:spacing w:after="140" w:before="280"/>
      </w:pPr>
      <w:r>
        <w:rPr>
          <w:rFonts w:ascii="Arial" w:cs="Arial" w:eastAsia="Arial" w:hAnsi="Arial"/>
          <w:b/>
          <w:bCs/>
          <w:color w:val="1A1A1A"/>
          <w:sz w:val="24"/>
          <w:szCs w:val="24"/>
        </w:rPr>
        <w:t xml:space="preserve">2.2  Der heutige Ablauf</w:t>
      </w:r>
    </w:p>
    <w:p>
      <w:pPr>
        <w:spacing w:after="120" w:line="280"/>
      </w:pPr>
      <w:r>
        <w:rPr>
          <w:rFonts w:ascii="Arial" w:cs="Arial" w:eastAsia="Arial" w:hAnsi="Arial"/>
          <w:color w:val="1A1A1A"/>
          <w:sz w:val="21"/>
          <w:szCs w:val="21"/>
        </w:rPr>
        <w:t xml:space="preserve">Nach der Inbetriebsetzung erzeugt eine Mitarbeiterin oder ein Mitarbeiter die CSV-Datei von Hand und legt sie auf dem Netzlaufwerk ab. SAP holt sie von dort ab und importiert sie.</w:t>
      </w:r>
    </w:p>
    <w:p>
      <w:pPr>
        <w:spacing w:after="120" w:line="280"/>
      </w:pPr>
      <w:r>
        <w:rPr>
          <w:rFonts w:ascii="Arial" w:cs="Arial" w:eastAsia="Arial" w:hAnsi="Arial"/>
          <w:color w:val="1A1A1A"/>
          <w:sz w:val="21"/>
          <w:szCs w:val="21"/>
        </w:rPr>
        <w:t xml:space="preserve">Es existiert damit keine automatisierte Schnittstelle, die abgelöst würde. Es existiert eine Datei, die SAP nachweislich verarbeitet — und eine Person, die weiß, wie sie zustande kommt.</w:t>
      </w:r>
    </w:p>
    <w:p>
      <w:pPr>
        <w:pStyle w:val="Heading2"/>
        <w:spacing w:after="140" w:before="280"/>
      </w:pPr>
      <w:r>
        <w:rPr>
          <w:rFonts w:ascii="Arial" w:cs="Arial" w:eastAsia="Arial" w:hAnsi="Arial"/>
          <w:b/>
          <w:bCs/>
          <w:color w:val="1A1A1A"/>
          <w:sz w:val="24"/>
          <w:szCs w:val="24"/>
        </w:rPr>
        <w:t xml:space="preserve">2.3  Die zwei Quellen für das Konzept</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3000"/>
        <w:gridCol w:w="6638"/>
      </w:tblGrid>
      <w:tr>
        <w:trPr>
          <w:tblHeader/>
        </w:trPr>
        <w:tc>
          <w:tcPr>
            <w:tcW w:type="dxa" w:w="30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Quelle</w:t>
            </w:r>
          </w:p>
        </w:tc>
        <w:tc>
          <w:tcPr>
            <w:tcW w:type="dxa" w:w="66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Liefert</w:t>
            </w:r>
          </w:p>
        </w:tc>
      </w:tr>
      <w:tr>
        <w:tc>
          <w:tcPr>
            <w:tcW w:type="dxa" w:w="3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Eine produktive CSV-Datei</w:t>
            </w:r>
          </w:p>
        </w:tc>
        <w:tc>
          <w:tcPr>
            <w:tcW w:type="dxa" w:w="66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Das exakte Zielformat. SAP verarbeitet sie — damit ist sie die verbindliche Spezifikation, unabhängig davon, was an anderer Stelle dokumentiert ist.</w:t>
            </w:r>
          </w:p>
        </w:tc>
      </w:tr>
      <w:tr>
        <w:tc>
          <w:tcPr>
            <w:tcW w:type="dxa" w:w="3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Die Person, die sie erzeugt</w:t>
            </w:r>
          </w:p>
        </w:tc>
        <w:tc>
          <w:tcPr>
            <w:tcW w:type="dxa" w:w="66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Alles Übrige: Auswahl der Vorgänge, Prüfungen, Sonderfälle, Takt, Verhalten bei Fehlern. Die deutlich wichtigere Quelle.</w:t>
            </w:r>
          </w:p>
        </w:tc>
      </w:tr>
    </w:tbl>
    <w:p>
      <w:pPr>
        <w:pBdr>
          <w:left w:val="single" w:color="0E5A69" w:sz="18" w:space="12"/>
        </w:pBdr>
        <w:spacing w:after="180" w:before="180" w:line="280"/>
        <w:ind w:left="280"/>
      </w:pPr>
      <w:r>
        <w:rPr>
          <w:rFonts w:ascii="Arial" w:cs="Arial" w:eastAsia="Arial" w:hAnsi="Arial"/>
          <w:b/>
          <w:bCs/>
          <w:color w:val="1A1A1A"/>
          <w:sz w:val="21"/>
          <w:szCs w:val="21"/>
        </w:rPr>
        <w:t xml:space="preserve">Der erste Arbeitsschritt ist kein technischer, sondern ein Gespräch von einer Stunde.</w:t>
      </w:r>
    </w:p>
    <w:p>
      <w:r>
        <w:br w:type="page"/>
      </w:r>
    </w:p>
    <w:p>
      <w:pPr>
        <w:pStyle w:val="Heading1"/>
        <w:spacing w:after="200" w:before="360"/>
      </w:pPr>
      <w:r>
        <w:rPr>
          <w:rFonts w:ascii="Arial" w:cs="Arial" w:eastAsia="Arial" w:hAnsi="Arial"/>
          <w:b/>
          <w:bCs/>
          <w:color w:val="0E5A69"/>
          <w:sz w:val="30"/>
          <w:szCs w:val="30"/>
        </w:rPr>
        <w:t xml:space="preserve">3  Getroffene Festlegungen</w:t>
      </w:r>
    </w:p>
    <w:p>
      <w:pPr>
        <w:spacing w:after="120" w:line="280"/>
      </w:pPr>
      <w:r>
        <w:rPr>
          <w:rFonts w:ascii="Arial" w:cs="Arial" w:eastAsia="Arial" w:hAnsi="Arial"/>
          <w:color w:val="1A1A1A"/>
          <w:sz w:val="21"/>
          <w:szCs w:val="21"/>
        </w:rPr>
        <w:t xml:space="preserve">Folgende Punkte sind entschieden und stehen in dieser Runde nicht zur Debatte:</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2000"/>
        <w:gridCol w:w="3200"/>
        <w:gridCol w:w="4438"/>
      </w:tblGrid>
      <w:tr>
        <w:trPr>
          <w:tblHeader/>
        </w:trPr>
        <w:tc>
          <w:tcPr>
            <w:tcW w:type="dxa" w:w="20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Punkt</w:t>
            </w:r>
          </w:p>
        </w:tc>
        <w:tc>
          <w:tcPr>
            <w:tcW w:type="dxa" w:w="32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Festlegung</w:t>
            </w:r>
          </w:p>
        </w:tc>
        <w:tc>
          <w:tcPr>
            <w:tcW w:type="dxa" w:w="44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Begründung</w:t>
            </w:r>
          </w:p>
        </w:tc>
      </w:tr>
      <w:tr>
        <w:tc>
          <w:tcPr>
            <w:tcW w:type="dxa" w:w="2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Zielformat</w:t>
            </w:r>
          </w:p>
        </w:tc>
        <w:tc>
          <w:tcPr>
            <w:tcW w:type="dxa" w:w="3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CSV bleibt unverändert</w:t>
            </w:r>
          </w:p>
        </w:tc>
        <w:tc>
          <w:tcPr>
            <w:tcW w:type="dxa" w:w="44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SAP-Seite wird nicht angefasst; geringstes Risiko, kein SAP-Aufwand</w:t>
            </w:r>
          </w:p>
        </w:tc>
      </w:tr>
      <w:tr>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Ablageort</w:t>
            </w:r>
          </w:p>
        </w:tc>
        <w:tc>
          <w:tcPr>
            <w:tcW w:type="dxa" w:w="3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Netzlaufwerk wie bisher</w:t>
            </w:r>
          </w:p>
        </w:tc>
        <w:tc>
          <w:tcPr>
            <w:tcW w:type="dxa" w:w="44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einfachster technischer Weg, keine neue Komponente</w:t>
            </w:r>
          </w:p>
        </w:tc>
      </w:tr>
      <w:tr>
        <w:tc>
          <w:tcPr>
            <w:tcW w:type="dxa" w:w="2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Auslöser</w:t>
            </w:r>
          </w:p>
        </w:tc>
        <w:tc>
          <w:tcPr>
            <w:tcW w:type="dxa" w:w="3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bestätigte Inbetriebsetzung</w:t>
            </w:r>
          </w:p>
        </w:tc>
        <w:tc>
          <w:tcPr>
            <w:tcW w:type="dxa" w:w="44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vorher liegen keine abrechnungsrelevanten Daten vor</w:t>
            </w:r>
          </w:p>
        </w:tc>
      </w:tr>
      <w:tr>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Selektion</w:t>
            </w:r>
          </w:p>
        </w:tc>
        <w:tc>
          <w:tcPr>
            <w:tcW w:type="dxa" w:w="3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über einen Übertragungsstatus am Vorgang</w:t>
            </w:r>
          </w:p>
        </w:tc>
        <w:tc>
          <w:tcPr>
            <w:tcW w:type="dxa" w:w="44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ein Zeitraumfilter verliert Nachzügler und erzeugt Dubletten</w:t>
            </w:r>
          </w:p>
        </w:tc>
      </w:tr>
      <w:tr>
        <w:tc>
          <w:tcPr>
            <w:tcW w:type="dxa" w:w="2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Reihenfolge</w:t>
            </w:r>
          </w:p>
        </w:tc>
        <w:tc>
          <w:tcPr>
            <w:tcW w:type="dxa" w:w="3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erst Datei ablegen, dann Status setzen</w:t>
            </w:r>
          </w:p>
        </w:tc>
        <w:tc>
          <w:tcPr>
            <w:tcW w:type="dxa" w:w="44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im Zweifel doppelt statt verloren; Dubletten fängt SAP über die Referenz ab</w:t>
            </w:r>
          </w:p>
        </w:tc>
      </w:tr>
    </w:tbl>
    <w:p>
      <w:r>
        <w:br w:type="page"/>
      </w:r>
    </w:p>
    <w:p>
      <w:pPr>
        <w:pStyle w:val="Heading1"/>
        <w:spacing w:after="200" w:before="360"/>
      </w:pPr>
      <w:r>
        <w:rPr>
          <w:rFonts w:ascii="Arial" w:cs="Arial" w:eastAsia="Arial" w:hAnsi="Arial"/>
          <w:b/>
          <w:bCs/>
          <w:color w:val="0E5A69"/>
          <w:sz w:val="30"/>
          <w:szCs w:val="30"/>
        </w:rPr>
        <w:t xml:space="preserve">4  Entscheidungsvorlage: Werkzeugwahl</w:t>
      </w:r>
    </w:p>
    <w:p>
      <w:pPr>
        <w:spacing w:after="120" w:line="280"/>
      </w:pPr>
      <w:r>
        <w:rPr>
          <w:rFonts w:ascii="Arial" w:cs="Arial" w:eastAsia="Arial" w:hAnsi="Arial"/>
          <w:color w:val="1A1A1A"/>
          <w:sz w:val="21"/>
          <w:szCs w:val="21"/>
        </w:rPr>
        <w:t xml:space="preserve">epilot läuft als Software-as-a-Service und kann nicht selbst auf ein internes Netzlaufwerk schreiben. Zwischen epilot und dem Ablageort wird eine Komponente benötigt. Zur Verfügung stehen Power Automate und Databricks on Azure.</w:t>
      </w:r>
    </w:p>
    <w:p>
      <w:pPr>
        <w:pStyle w:val="Heading2"/>
        <w:spacing w:after="140" w:before="280"/>
      </w:pPr>
      <w:r>
        <w:rPr>
          <w:rFonts w:ascii="Arial" w:cs="Arial" w:eastAsia="Arial" w:hAnsi="Arial"/>
          <w:b/>
          <w:bCs/>
          <w:color w:val="1A1A1A"/>
          <w:sz w:val="24"/>
          <w:szCs w:val="24"/>
        </w:rPr>
        <w:t xml:space="preserve">4.1  Gegenüberstellung</w:t>
      </w:r>
    </w:p>
    <w:p>
      <w:pPr>
        <w:spacing w:after="120" w:line="280"/>
      </w:pPr>
      <w:r>
        <w:rPr>
          <w:rFonts w:ascii="Arial" w:cs="Arial" w:eastAsia="Arial" w:hAnsi="Arial"/>
          <w:color w:val="1A1A1A"/>
          <w:sz w:val="21"/>
          <w:szCs w:val="21"/>
        </w:rPr>
        <w:t xml:space="preserve">Beide Werkzeuge haben für diesen Anwendungsfall genau eine Schwachstelle — und es sind die jeweils gegensätzlichen.</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2400"/>
        <w:gridCol w:w="3619"/>
        <w:gridCol w:w="3619"/>
      </w:tblGrid>
      <w:tr>
        <w:trPr>
          <w:tblHeader/>
        </w:trPr>
        <w:tc>
          <w:tcPr>
            <w:tcW w:type="dxa" w:w="2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Kriterium</w:t>
            </w:r>
          </w:p>
        </w:tc>
        <w:tc>
          <w:tcPr>
            <w:tcW w:type="dxa" w:w="3619"/>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Power Automate</w:t>
            </w:r>
          </w:p>
        </w:tc>
        <w:tc>
          <w:tcPr>
            <w:tcW w:type="dxa" w:w="3619"/>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Databricks on Azure</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Erreicht das Netzlaufwerk</w:t>
            </w:r>
          </w:p>
        </w:tc>
        <w:tc>
          <w:tcPr>
            <w:tcW w:type="dxa" w:w="3619"/>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ja — über den On-Premises Data Gateway, genau dafür gebaut</w:t>
            </w:r>
          </w:p>
        </w:tc>
        <w:tc>
          <w:tcPr>
            <w:tcW w:type="dxa" w:w="3619"/>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nein — schreibt nach Blob/ADLS; SMB erfordert einen zweiten Schritt</w:t>
            </w:r>
          </w:p>
        </w:tc>
      </w:tr>
      <w:tr>
        <w:tc>
          <w:tcPr>
            <w:tcW w:type="dxa" w:w="2400"/>
            <w:shd w:fill="F8E9E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Byte-genaue Dateierzeugung</w:t>
            </w:r>
          </w:p>
        </w:tc>
        <w:tc>
          <w:tcPr>
            <w:tcW w:type="dxa" w:w="3619"/>
            <w:shd w:fill="F8E9E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schwach — schreibt UTF-8; Kodierung, BOM und Zeilenenden nur über fragile Umwege</w:t>
            </w:r>
          </w:p>
        </w:tc>
        <w:tc>
          <w:tcPr>
            <w:tcW w:type="dxa" w:w="3619"/>
            <w:shd w:fill="F8E9E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vollständige Kontrolle über Kodierung, Trennzeichen, Maskierung, Zeilenende</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Prüfregeln aus dem Gespräch</w:t>
            </w:r>
          </w:p>
        </w:tc>
        <w:tc>
          <w:tcPr>
            <w:tcW w:type="dxa" w:w="3619"/>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in einer Oberfläche zusammengeklickt, ab mittlerer Komplexität schlecht wartbar</w:t>
            </w:r>
          </w:p>
        </w:tc>
        <w:tc>
          <w:tcPr>
            <w:tcW w:type="dxa" w:w="3619"/>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normaler Programmcode, testbar und versioniert</w:t>
            </w:r>
          </w:p>
        </w:tc>
      </w:tr>
      <w:tr>
        <w:tc>
          <w:tcPr>
            <w:tcW w:type="dxa" w:w="2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Angemessenheit</w:t>
            </w:r>
          </w:p>
        </w:tc>
        <w:tc>
          <w:tcPr>
            <w:tcW w:type="dxa" w:w="3619"/>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passend für einen kleinen Lauf</w:t>
            </w:r>
          </w:p>
        </w:tc>
        <w:tc>
          <w:tcPr>
            <w:tcW w:type="dxa" w:w="3619"/>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überdimensioniert für eine dreistellige Zeilenzahl</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Laufende Kosten</w:t>
            </w:r>
          </w:p>
        </w:tc>
        <w:tc>
          <w:tcPr>
            <w:tcW w:type="dxa" w:w="3619"/>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Lizenz — der HTTP-Konnektor ist Premium</w:t>
            </w:r>
          </w:p>
        </w:tc>
        <w:tc>
          <w:tcPr>
            <w:tcW w:type="dxa" w:w="3619"/>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Cluster-Laufzeit je Lauf</w:t>
            </w:r>
          </w:p>
        </w:tc>
      </w:tr>
    </w:tbl>
    <w:p>
      <w:pPr>
        <w:pStyle w:val="Heading2"/>
        <w:spacing w:after="140" w:before="280"/>
      </w:pPr>
      <w:r>
        <w:rPr>
          <w:rFonts w:ascii="Arial" w:cs="Arial" w:eastAsia="Arial" w:hAnsi="Arial"/>
          <w:b/>
          <w:bCs/>
          <w:color w:val="1A1A1A"/>
          <w:sz w:val="24"/>
          <w:szCs w:val="24"/>
        </w:rPr>
        <w:t xml:space="preserve">4.2  Die Entscheidungsregel</w:t>
      </w:r>
    </w:p>
    <w:p>
      <w:pPr>
        <w:pBdr>
          <w:left w:val="single" w:color="0E5A69" w:sz="18" w:space="12"/>
        </w:pBdr>
        <w:spacing w:after="180" w:before="180" w:line="280"/>
        <w:ind w:left="280"/>
      </w:pPr>
      <w:r>
        <w:rPr>
          <w:rFonts w:ascii="Arial" w:cs="Arial" w:eastAsia="Arial" w:hAnsi="Arial"/>
          <w:b/>
          <w:bCs/>
          <w:color w:val="1A1A1A"/>
          <w:sz w:val="21"/>
          <w:szCs w:val="21"/>
        </w:rPr>
        <w:t xml:space="preserve">Die Entscheidung hängt an der Zeichenkodierung der heutigen Datei — nicht an einer Werkzeugpräferenz.</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3400"/>
        <w:gridCol w:w="6238"/>
      </w:tblGrid>
      <w:tr>
        <w:trPr>
          <w:tblHeader/>
        </w:trPr>
        <w:tc>
          <w:tcPr>
            <w:tcW w:type="dxa" w:w="3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Kodierung der Originaldatei</w:t>
            </w:r>
          </w:p>
        </w:tc>
        <w:tc>
          <w:tcPr>
            <w:tcW w:type="dxa" w:w="62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Konsequenz</w:t>
            </w:r>
          </w:p>
        </w:tc>
      </w:tr>
      <w:tr>
        <w:tc>
          <w:tcPr>
            <w:tcW w:type="dxa" w:w="3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UTF-8 ohne BOM</w:t>
            </w:r>
          </w:p>
        </w:tc>
        <w:tc>
          <w:tcPr>
            <w:tcW w:type="dxa" w:w="6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Power Automate allein genügt. Eine Komponente, kein Bruch, geringster Aufwand.</w:t>
            </w:r>
          </w:p>
        </w:tc>
      </w:tr>
      <w:tr>
        <w:tc>
          <w:tcPr>
            <w:tcW w:type="dxa" w:w="3400"/>
            <w:shd w:fill="F8E9E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Windows-1252 · ISO-8859-1 · UTF-8 mit BOM</w:t>
            </w:r>
          </w:p>
        </w:tc>
        <w:tc>
          <w:tcPr>
            <w:tcW w:type="dxa" w:w="6238"/>
            <w:shd w:fill="F8E9E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Power Automate scheidet für die Erzeugung aus. Das Ergebnis wirkt in der Vorschau korrekt und zerlegt in SAP jeden Umlaut in Namen und Straßennamen.</w:t>
            </w:r>
          </w:p>
        </w:tc>
      </w:tr>
    </w:tbl>
    <w:p>
      <w:pPr>
        <w:pBdr>
          <w:left w:val="single" w:color="8A5510" w:sz="18" w:space="12"/>
        </w:pBdr>
        <w:spacing w:after="160" w:before="160" w:line="280"/>
        <w:ind w:left="280"/>
      </w:pPr>
      <w:r>
        <w:rPr>
          <w:rFonts w:ascii="Arial" w:cs="Arial" w:eastAsia="Arial" w:hAnsi="Arial"/>
          <w:i/>
          <w:iCs/>
          <w:color w:val="8A5510"/>
          <w:sz w:val="20"/>
          <w:szCs w:val="20"/>
        </w:rPr>
        <w:t xml:space="preserve">Deutsche SAP-Umfelder mit gewachsenen Dateiimporten liegen erfahrungsgemäß häufiger im zweiten Fall. Zuverlässig klären lässt sich das nur an einer echten Originaldatei — ein Aufwand von etwa zehn Minuten, der vor der Werkzeugentscheidung stehen sollte.</w:t>
      </w:r>
    </w:p>
    <w:p>
      <w:pPr>
        <w:pStyle w:val="Heading2"/>
        <w:spacing w:after="140" w:before="280"/>
      </w:pPr>
      <w:r>
        <w:rPr>
          <w:rFonts w:ascii="Arial" w:cs="Arial" w:eastAsia="Arial" w:hAnsi="Arial"/>
          <w:b/>
          <w:bCs/>
          <w:color w:val="1A1A1A"/>
          <w:sz w:val="24"/>
          <w:szCs w:val="24"/>
        </w:rPr>
        <w:t xml:space="preserve">4.3  Empfehlung</w:t>
      </w:r>
    </w:p>
    <w:p>
      <w:pPr>
        <w:spacing w:after="120" w:line="280"/>
      </w:pPr>
      <w:r>
        <w:rPr>
          <w:rFonts w:ascii="Arial" w:cs="Arial" w:eastAsia="Arial" w:hAnsi="Arial"/>
          <w:b/>
          <w:bCs/>
          <w:color w:val="1A1A1A"/>
          <w:sz w:val="21"/>
          <w:szCs w:val="21"/>
        </w:rPr>
        <w:t xml:space="preserve">Arbeitsteilung: Databricks erzeugt die Datei, Power Automate stellt sie zu.</w:t>
      </w:r>
    </w:p>
    <w:p>
      <w:pPr>
        <w:spacing w:after="120" w:line="280"/>
      </w:pPr>
      <w:r>
        <w:rPr>
          <w:rFonts w:ascii="Arial" w:cs="Arial" w:eastAsia="Arial" w:hAnsi="Arial"/>
          <w:color w:val="1A1A1A"/>
          <w:sz w:val="21"/>
          <w:szCs w:val="21"/>
        </w:rPr>
        <w:t xml:space="preserve">Diese Aufteilung trägt unabhängig vom Ausgang der Kodierungsfrage und lässt sich später auf eine Komponente zusammenziehen, falls sich die einfache Variante bestätigt. Jedes Werkzeug übernimmt das, worin es stark ist.</w:t>
      </w:r>
    </w:p>
    <w:p>
      <w:pPr>
        <w:pStyle w:val="Heading3"/>
        <w:spacing w:after="100" w:before="200"/>
      </w:pPr>
      <w:r>
        <w:rPr>
          <w:rFonts w:ascii="Arial" w:cs="Arial" w:eastAsia="Arial" w:hAnsi="Arial"/>
          <w:b/>
          <w:bCs/>
          <w:color w:val="5A6A73"/>
          <w:sz w:val="21"/>
          <w:szCs w:val="21"/>
        </w:rPr>
        <w:t xml:space="preserve">Drei Gründe für Databricks bei der Erzeugung</w:t>
      </w:r>
    </w:p>
    <w:p>
      <w:pPr>
        <w:pStyle w:val="ListParagraph"/>
        <w:numPr>
          <w:ilvl w:val="0"/>
          <w:numId w:val="2"/>
        </w:numPr>
        <w:spacing w:after="80" w:line="280"/>
      </w:pPr>
      <w:r>
        <w:rPr>
          <w:rFonts w:ascii="Arial" w:cs="Arial" w:eastAsia="Arial" w:hAnsi="Arial"/>
          <w:b/>
          <w:bCs/>
          <w:color w:val="1A1A1A"/>
          <w:sz w:val="21"/>
          <w:szCs w:val="21"/>
        </w:rPr>
        <w:t xml:space="preserve">Das Dateiformat ist die harte Anforderung. </w:t>
      </w:r>
      <w:r>
        <w:rPr>
          <w:rFonts w:ascii="Arial" w:cs="Arial" w:eastAsia="Arial" w:hAnsi="Arial"/>
          <w:color w:val="1A1A1A"/>
          <w:sz w:val="21"/>
          <w:szCs w:val="21"/>
        </w:rPr>
        <w:t xml:space="preserve">SAP nimmt die Datei oder nicht — vollständige Kontrolle darüber ist nicht verhandelbar.</w:t>
      </w:r>
    </w:p>
    <w:p>
      <w:pPr>
        <w:pStyle w:val="ListParagraph"/>
        <w:numPr>
          <w:ilvl w:val="0"/>
          <w:numId w:val="2"/>
        </w:numPr>
        <w:spacing w:after="80" w:line="280"/>
      </w:pPr>
      <w:r>
        <w:rPr>
          <w:rFonts w:ascii="Arial" w:cs="Arial" w:eastAsia="Arial" w:hAnsi="Arial"/>
          <w:b/>
          <w:bCs/>
          <w:color w:val="1A1A1A"/>
          <w:sz w:val="21"/>
          <w:szCs w:val="21"/>
        </w:rPr>
        <w:t xml:space="preserve">Die Prüfregeln werden echter Programmcode. </w:t>
      </w:r>
      <w:r>
        <w:rPr>
          <w:rFonts w:ascii="Arial" w:cs="Arial" w:eastAsia="Arial" w:hAnsi="Arial"/>
          <w:color w:val="1A1A1A"/>
          <w:sz w:val="21"/>
          <w:szCs w:val="21"/>
        </w:rPr>
        <w:t xml:space="preserve">Was aus dem Gespräch mit der Sachbearbeitung kommt, ist Logik mit Sonderfällen.</w:t>
      </w:r>
    </w:p>
    <w:p>
      <w:pPr>
        <w:pStyle w:val="ListParagraph"/>
        <w:numPr>
          <w:ilvl w:val="0"/>
          <w:numId w:val="2"/>
        </w:numPr>
        <w:spacing w:after="80" w:line="280"/>
      </w:pPr>
      <w:r>
        <w:rPr>
          <w:rFonts w:ascii="Arial" w:cs="Arial" w:eastAsia="Arial" w:hAnsi="Arial"/>
          <w:b/>
          <w:bCs/>
          <w:color w:val="1A1A1A"/>
          <w:sz w:val="21"/>
          <w:szCs w:val="21"/>
        </w:rPr>
        <w:t xml:space="preserve">Die Strecke liefert Vergütungsgrundlagen. </w:t>
      </w:r>
      <w:r>
        <w:rPr>
          <w:rFonts w:ascii="Arial" w:cs="Arial" w:eastAsia="Arial" w:hAnsi="Arial"/>
          <w:color w:val="1A1A1A"/>
          <w:sz w:val="21"/>
          <w:szCs w:val="21"/>
        </w:rPr>
        <w:t xml:space="preserve">Das Inbetriebnahmedatum bestimmt den Satz über die gesamte Förderdauer. Versionierung, Review und automatisierte Tests sind hier keine Kür.</w:t>
      </w:r>
    </w:p>
    <w:p>
      <w:pPr>
        <w:pBdr>
          <w:left w:val="single" w:color="5A6A73" w:sz="18" w:space="12"/>
        </w:pBdr>
        <w:spacing w:after="160" w:before="160" w:line="280"/>
        <w:ind w:left="280"/>
      </w:pPr>
      <w:r>
        <w:rPr>
          <w:rFonts w:ascii="Arial" w:cs="Arial" w:eastAsia="Arial" w:hAnsi="Arial"/>
          <w:i/>
          <w:iCs/>
          <w:color w:val="5A6A73"/>
          <w:sz w:val="20"/>
          <w:szCs w:val="20"/>
        </w:rPr>
        <w:t xml:space="preserve">Einwand zur Vollständigkeit: Databricks ist für diese Datenmenge überdimensioniert. Das ist vertretbar, wenn die Plattform ohnehin betrieben wird — dann ist der Grenzaufwand ein Job mehr. Andernfalls ist eine Azure Function das passendere Werkzeug für dieselbe Rolle; die Architektur bleibt identisch.</w:t>
      </w:r>
    </w:p>
    <w:p>
      <w:r>
        <w:br w:type="page"/>
      </w:r>
    </w:p>
    <w:p>
      <w:pPr>
        <w:pStyle w:val="Heading1"/>
        <w:spacing w:after="200" w:before="360"/>
      </w:pPr>
      <w:r>
        <w:rPr>
          <w:rFonts w:ascii="Arial" w:cs="Arial" w:eastAsia="Arial" w:hAnsi="Arial"/>
          <w:b/>
          <w:bCs/>
          <w:color w:val="0E5A69"/>
          <w:sz w:val="30"/>
          <w:szCs w:val="30"/>
        </w:rPr>
        <w:t xml:space="preserve">5  Architektur</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2000"/>
        <w:gridCol w:w="2800"/>
        <w:gridCol w:w="4838"/>
      </w:tblGrid>
      <w:tr>
        <w:trPr>
          <w:tblHeader/>
        </w:trPr>
        <w:tc>
          <w:tcPr>
            <w:tcW w:type="dxa" w:w="20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Stufe</w:t>
            </w:r>
          </w:p>
        </w:tc>
        <w:tc>
          <w:tcPr>
            <w:tcW w:type="dxa" w:w="28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Komponente</w:t>
            </w:r>
          </w:p>
        </w:tc>
        <w:tc>
          <w:tcPr>
            <w:tcW w:type="dxa" w:w="48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Aufgabe</w:t>
            </w:r>
          </w:p>
        </w:tc>
      </w:tr>
      <w:tr>
        <w:tc>
          <w:tcPr>
            <w:tcW w:type="dxa" w:w="2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1  Quelle</w:t>
            </w:r>
          </w:p>
        </w:tc>
        <w:tc>
          <w:tcPr>
            <w:tcW w:type="dxa" w:w="28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epilot</w:t>
            </w:r>
          </w:p>
        </w:tc>
        <w:tc>
          <w:tcPr>
            <w:tcW w:type="dxa" w:w="4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Vorgänge mit Status „bereit, nicht übertragen“</w:t>
            </w:r>
          </w:p>
        </w:tc>
      </w:tr>
      <w:tr>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2  Erzeugung</w:t>
            </w:r>
          </w:p>
        </w:tc>
        <w:tc>
          <w:tcPr>
            <w:tcW w:type="dxa" w:w="28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Databricks Job</w:t>
            </w:r>
          </w:p>
        </w:tc>
        <w:tc>
          <w:tcPr>
            <w:tcW w:type="dxa" w:w="48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Abruf über HTTPS, Prüfregeln, byte-genaue CSV</w:t>
            </w:r>
          </w:p>
        </w:tc>
      </w:tr>
      <w:tr>
        <w:tc>
          <w:tcPr>
            <w:tcW w:type="dxa" w:w="2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3  Zwischenablage</w:t>
            </w:r>
          </w:p>
        </w:tc>
        <w:tc>
          <w:tcPr>
            <w:tcW w:type="dxa" w:w="28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Blob / ADLS</w:t>
            </w:r>
          </w:p>
        </w:tc>
        <w:tc>
          <w:tcPr>
            <w:tcW w:type="dxa" w:w="4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fertige Datei</w:t>
            </w:r>
          </w:p>
        </w:tc>
      </w:tr>
      <w:tr>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4  Zustellung</w:t>
            </w:r>
          </w:p>
        </w:tc>
        <w:tc>
          <w:tcPr>
            <w:tcW w:type="dxa" w:w="28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Power Automate</w:t>
            </w:r>
          </w:p>
        </w:tc>
        <w:tc>
          <w:tcPr>
            <w:tcW w:type="dxa" w:w="48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Data Gateway, Kopie mit atomarer Umbenennung</w:t>
            </w:r>
          </w:p>
        </w:tc>
      </w:tr>
      <w:tr>
        <w:tc>
          <w:tcPr>
            <w:tcW w:type="dxa" w:w="2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5  Ziel</w:t>
            </w:r>
          </w:p>
        </w:tc>
        <w:tc>
          <w:tcPr>
            <w:tcW w:type="dxa" w:w="28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Netzlaufwerk → SAP</w:t>
            </w:r>
          </w:p>
        </w:tc>
        <w:tc>
          <w:tcPr>
            <w:tcW w:type="dxa" w:w="4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unverändert</w:t>
            </w:r>
          </w:p>
        </w:tc>
      </w:tr>
    </w:tbl>
    <w:p>
      <w:pPr>
        <w:pBdr>
          <w:left w:val="single" w:color="0E5A69" w:sz="18" w:space="12"/>
        </w:pBdr>
        <w:spacing w:after="180" w:before="180" w:line="280"/>
        <w:ind w:left="280"/>
      </w:pPr>
      <w:r>
        <w:rPr>
          <w:rFonts w:ascii="Arial" w:cs="Arial" w:eastAsia="Arial" w:hAnsi="Arial"/>
          <w:b/>
          <w:bCs/>
          <w:color w:val="1A1A1A"/>
          <w:sz w:val="21"/>
          <w:szCs w:val="21"/>
        </w:rPr>
        <w:t xml:space="preserve">Nach außen wird ausschließlich ausgehendes HTTPS benötigt. Keine eingehende Freigabe ins interne Netz, keine Änderung auf der SAP-Seite.</w:t>
      </w:r>
    </w:p>
    <w:p>
      <w:pPr>
        <w:spacing w:after="120" w:line="280"/>
      </w:pPr>
      <w:r>
        <w:rPr>
          <w:rFonts w:ascii="Arial" w:cs="Arial" w:eastAsia="Arial" w:hAnsi="Arial"/>
          <w:color w:val="1A1A1A"/>
          <w:sz w:val="21"/>
          <w:szCs w:val="21"/>
        </w:rPr>
        <w:t xml:space="preserve">Das ist der ausschlaggebende Vorteil gegenüber einem Push-Verfahren: Ein aus dem Internet erreichbarer Endpunkt im internen Netz wäre ein Sicherheitsvorgang mit eigener Freigabekette und entsprechender Laufzeit. Zudem ist ein abrufender Lauf von sich aus wiederholbar — bei einer Dateischnittstelle ohne Rückkanal die wichtigere Eigenschaft.</w:t>
      </w:r>
    </w:p>
    <w:p>
      <w:pPr>
        <w:pStyle w:val="Heading2"/>
        <w:spacing w:after="140" w:before="280"/>
      </w:pPr>
      <w:r>
        <w:rPr>
          <w:rFonts w:ascii="Arial" w:cs="Arial" w:eastAsia="Arial" w:hAnsi="Arial"/>
          <w:b/>
          <w:bCs/>
          <w:color w:val="1A1A1A"/>
          <w:sz w:val="24"/>
          <w:szCs w:val="24"/>
        </w:rPr>
        <w:t xml:space="preserve">5.1  Zugangsdaten</w:t>
      </w:r>
    </w:p>
    <w:p>
      <w:pPr>
        <w:spacing w:after="120" w:line="280"/>
      </w:pPr>
      <w:r>
        <w:rPr>
          <w:rFonts w:ascii="Arial" w:cs="Arial" w:eastAsia="Arial" w:hAnsi="Arial"/>
          <w:color w:val="1A1A1A"/>
          <w:sz w:val="21"/>
          <w:szCs w:val="21"/>
        </w:rPr>
        <w:t xml:space="preserve">Der Zugriff auf epilot erfolgt über einen Access Token vom Typ „api“ mit eng gefasster Rollenzuweisung. Der Token gehört in den Azure Key Vault — nicht in ein Notebook, nicht in eine Konfigurationsdatei und nicht in das Repository. Die Erneuerung vor Ablauf ist einzuplanen.</w:t>
      </w:r>
    </w:p>
    <w:p>
      <w:r>
        <w:br w:type="page"/>
      </w:r>
    </w:p>
    <w:p>
      <w:pPr>
        <w:pStyle w:val="Heading1"/>
        <w:spacing w:after="200" w:before="360"/>
      </w:pPr>
      <w:r>
        <w:rPr>
          <w:rFonts w:ascii="Arial" w:cs="Arial" w:eastAsia="Arial" w:hAnsi="Arial"/>
          <w:b/>
          <w:bCs/>
          <w:color w:val="0E5A69"/>
          <w:sz w:val="30"/>
          <w:szCs w:val="30"/>
        </w:rPr>
        <w:t xml:space="preserve">6  Datenseite</w:t>
      </w:r>
    </w:p>
    <w:p>
      <w:pPr>
        <w:pStyle w:val="Heading2"/>
        <w:spacing w:after="140" w:before="280"/>
      </w:pPr>
      <w:r>
        <w:rPr>
          <w:rFonts w:ascii="Arial" w:cs="Arial" w:eastAsia="Arial" w:hAnsi="Arial"/>
          <w:b/>
          <w:bCs/>
          <w:color w:val="1A1A1A"/>
          <w:sz w:val="24"/>
          <w:szCs w:val="24"/>
        </w:rPr>
        <w:t xml:space="preserve">6.1  Was ein epilot-Vorgang liefert</w:t>
      </w:r>
    </w:p>
    <w:p>
      <w:pPr>
        <w:spacing w:after="120" w:line="280"/>
      </w:pPr>
      <w:r>
        <w:rPr>
          <w:rFonts w:ascii="Arial" w:cs="Arial" w:eastAsia="Arial" w:hAnsi="Arial"/>
          <w:color w:val="1A1A1A"/>
          <w:sz w:val="21"/>
          <w:szCs w:val="21"/>
        </w:rPr>
        <w:t xml:space="preserve">Jeder Vorgang ist eine Entity mit Systemfeldern und den Attributen des jeweiligen Schemas. Für die Abbildung in eine CSV zerfallen die Attributtypen in drei Klassen:</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2400"/>
        <w:gridCol w:w="3800"/>
        <w:gridCol w:w="3438"/>
      </w:tblGrid>
      <w:tr>
        <w:trPr>
          <w:tblHeader/>
        </w:trPr>
        <w:tc>
          <w:tcPr>
            <w:tcW w:type="dxa" w:w="2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Klasse</w:t>
            </w:r>
          </w:p>
        </w:tc>
        <w:tc>
          <w:tcPr>
            <w:tcW w:type="dxa" w:w="38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Typen</w:t>
            </w:r>
          </w:p>
        </w:tc>
        <w:tc>
          <w:tcPr>
            <w:tcW w:type="dxa" w:w="34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Behandlung</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Direkt übernehmbar</w:t>
            </w:r>
          </w:p>
        </w:tc>
        <w:tc>
          <w:tcPr>
            <w:tcW w:type="dxa" w:w="38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Text, Zahl, Ja/Nein, Datum, E-Mail, Telefon, Land, Währung, Nummernkreis, Auswahl, Status</w:t>
            </w:r>
          </w:p>
        </w:tc>
        <w:tc>
          <w:tcPr>
            <w:tcW w:type="dxa" w:w="34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eine Zelle je Attribut</w:t>
            </w:r>
          </w:p>
        </w:tc>
      </w:tr>
      <w:tr>
        <w:tc>
          <w:tcPr>
            <w:tcW w:type="dxa" w:w="2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Zusammengesetzt</w:t>
            </w:r>
          </w:p>
        </w:tc>
        <w:tc>
          <w:tcPr>
            <w:tcW w:type="dxa" w:w="38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Adresse (Straße, Hausnummer, PLZ, Ort, Land), Zahlungsdaten</w:t>
            </w:r>
          </w:p>
        </w:tc>
        <w:tc>
          <w:tcPr>
            <w:tcW w:type="dxa" w:w="34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wird zu mehreren Spalten; bei Adressen ist der erste Eintrag der maßgebliche</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Mehrwertig oder verweisend</w:t>
            </w:r>
          </w:p>
        </w:tc>
        <w:tc>
          <w:tcPr>
            <w:tcW w:type="dxa" w:w="38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Mehrfachauswahl, Schlagworte, Tabellen, Dateien, Beziehungen</w:t>
            </w:r>
          </w:p>
        </w:tc>
        <w:tc>
          <w:tcPr>
            <w:tcW w:type="dxa" w:w="34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erfordert eine Festlegung; Beziehungen liefern nur die Kennung des verknüpften Datensatzes</w:t>
            </w:r>
          </w:p>
        </w:tc>
      </w:tr>
    </w:tbl>
    <w:p>
      <w:pPr>
        <w:pBdr>
          <w:left w:val="single" w:color="8A5510" w:sz="18" w:space="12"/>
        </w:pBdr>
        <w:spacing w:after="160" w:before="160" w:line="280"/>
        <w:ind w:left="280"/>
      </w:pPr>
      <w:r>
        <w:rPr>
          <w:rFonts w:ascii="Arial" w:cs="Arial" w:eastAsia="Arial" w:hAnsi="Arial"/>
          <w:i/>
          <w:iCs/>
          <w:color w:val="8A5510"/>
          <w:sz w:val="20"/>
          <w:szCs w:val="20"/>
        </w:rPr>
        <w:t xml:space="preserve">Praktische Folge: Ist der Anlagenbetreiber als eigener Datensatz verknüpft, wird sein Name beim Abruf des Vorgangs nicht mitgeliefert. Der Lauf muss den verknüpften Datensatz zusätzlich auflösen. Das ist kein Hindernis, gehört aber in die Aufwandsbetrachtung.</w:t>
      </w:r>
    </w:p>
    <w:p>
      <w:pPr>
        <w:pStyle w:val="Heading2"/>
        <w:spacing w:after="140" w:before="280"/>
      </w:pPr>
      <w:r>
        <w:rPr>
          <w:rFonts w:ascii="Arial" w:cs="Arial" w:eastAsia="Arial" w:hAnsi="Arial"/>
          <w:b/>
          <w:bCs/>
          <w:color w:val="1A1A1A"/>
          <w:sz w:val="24"/>
          <w:szCs w:val="24"/>
        </w:rPr>
        <w:t xml:space="preserve">6.2  Rechtlich kritische Felder</w:t>
      </w:r>
    </w:p>
    <w:p>
      <w:pPr>
        <w:spacing w:after="120" w:line="280"/>
      </w:pPr>
      <w:r>
        <w:rPr>
          <w:rFonts w:ascii="Arial" w:cs="Arial" w:eastAsia="Arial" w:hAnsi="Arial"/>
          <w:color w:val="1A1A1A"/>
          <w:sz w:val="21"/>
          <w:szCs w:val="21"/>
        </w:rPr>
        <w:t xml:space="preserve">Bei diesen Feldern ist ein Übertragungsfehler kein Schönheitsfehler, sondern ein Fall für die Nachberechnung:</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2600"/>
        <w:gridCol w:w="7038"/>
      </w:tblGrid>
      <w:tr>
        <w:trPr>
          <w:tblHeader/>
        </w:trPr>
        <w:tc>
          <w:tcPr>
            <w:tcW w:type="dxa" w:w="26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Feld</w:t>
            </w:r>
          </w:p>
        </w:tc>
        <w:tc>
          <w:tcPr>
            <w:tcW w:type="dxa" w:w="70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Bedeutung</w:t>
            </w:r>
          </w:p>
        </w:tc>
      </w:tr>
      <w:tr>
        <w:tc>
          <w:tcPr>
            <w:tcW w:type="dxa" w:w="2600"/>
            <w:shd w:fill="F8E9E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Inbetriebnahmedatum</w:t>
            </w:r>
          </w:p>
        </w:tc>
        <w:tc>
          <w:tcPr>
            <w:tcW w:type="dxa" w:w="7038"/>
            <w:shd w:fill="F8E9E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Bestimmt den Vergütungssatz für die gesamte Förderdauer. Muss dem Inbetriebsetzungs­protokoll entsprechen, nicht dem Antragsdatum.</w:t>
            </w:r>
          </w:p>
        </w:tc>
      </w:tr>
      <w:tr>
        <w:tc>
          <w:tcPr>
            <w:tcW w:type="dxa" w:w="2600"/>
            <w:shd w:fill="F8E9E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Installierte Leistung</w:t>
            </w:r>
          </w:p>
        </w:tc>
        <w:tc>
          <w:tcPr>
            <w:tcW w:type="dxa" w:w="7038"/>
            <w:shd w:fill="F8E9E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Bestimmt die Vergütungsklasse und das Überschreiten gesetzlicher Schwellen. Maßgeblich ist der Ist-Wert.</w:t>
            </w:r>
          </w:p>
        </w:tc>
      </w:tr>
      <w:tr>
        <w:tc>
          <w:tcPr>
            <w:tcW w:type="dxa" w:w="2600"/>
            <w:shd w:fill="F8E9E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MaStR-Nummer</w:t>
            </w:r>
          </w:p>
        </w:tc>
        <w:tc>
          <w:tcPr>
            <w:tcW w:type="dxa" w:w="7038"/>
            <w:shd w:fill="F8E9E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Ohne Registrierung im Marktstammdatenregister droht die Kürzung des Vergütungsanspruchs.</w:t>
            </w:r>
          </w:p>
        </w:tc>
      </w:tr>
      <w:tr>
        <w:tc>
          <w:tcPr>
            <w:tcW w:type="dxa" w:w="2600"/>
            <w:shd w:fill="F8E9E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Vergütungsart</w:t>
            </w:r>
          </w:p>
        </w:tc>
        <w:tc>
          <w:tcPr>
            <w:tcW w:type="dxa" w:w="7038"/>
            <w:shd w:fill="F8E9E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Voll- oder Überschusseinspeisung beziehungsweise Direktvermarktung — unterschiedliche Sätze und Abrechnungslogik.</w:t>
            </w:r>
          </w:p>
        </w:tc>
      </w:tr>
      <w:tr>
        <w:tc>
          <w:tcPr>
            <w:tcW w:type="dxa" w:w="2600"/>
            <w:shd w:fill="F8E9E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Umsatzsteuerstatus</w:t>
            </w:r>
          </w:p>
        </w:tc>
        <w:tc>
          <w:tcPr>
            <w:tcW w:type="dxa" w:w="7038"/>
            <w:shd w:fill="F8E9E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Die Vergütung wird per Gutschrift abgerechnet. Ob Umsatzsteuer auszuweisen ist, hängt am Status des Betreibers.</w:t>
            </w:r>
          </w:p>
        </w:tc>
      </w:tr>
    </w:tbl>
    <w:p>
      <w:pPr>
        <w:pStyle w:val="Heading2"/>
        <w:spacing w:after="140" w:before="280"/>
      </w:pPr>
      <w:r>
        <w:rPr>
          <w:rFonts w:ascii="Arial" w:cs="Arial" w:eastAsia="Arial" w:hAnsi="Arial"/>
          <w:b/>
          <w:bCs/>
          <w:color w:val="1A1A1A"/>
          <w:sz w:val="24"/>
          <w:szCs w:val="24"/>
        </w:rPr>
        <w:t xml:space="preserve">6.3  Datenlücken</w:t>
      </w:r>
    </w:p>
    <w:p>
      <w:pPr>
        <w:spacing w:after="120" w:line="280"/>
      </w:pPr>
      <w:r>
        <w:rPr>
          <w:rFonts w:ascii="Arial" w:cs="Arial" w:eastAsia="Arial" w:hAnsi="Arial"/>
          <w:color w:val="1A1A1A"/>
          <w:sz w:val="21"/>
          <w:szCs w:val="21"/>
        </w:rPr>
        <w:t xml:space="preserve">Nicht alle Felder, die SAP benötigt, entstehen im Anmeldeportal. Für jedes dieser Felder ist im heutigen Handbetrieb bereits ein Weg etabliert — dieser ist zu erheben und zu bewerten:</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3800"/>
        <w:gridCol w:w="5838"/>
      </w:tblGrid>
      <w:tr>
        <w:trPr>
          <w:tblHeader/>
        </w:trPr>
        <w:tc>
          <w:tcPr>
            <w:tcW w:type="dxa" w:w="38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Feld</w:t>
            </w:r>
          </w:p>
        </w:tc>
        <w:tc>
          <w:tcPr>
            <w:tcW w:type="dxa" w:w="58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Entsteht</w:t>
            </w:r>
          </w:p>
        </w:tc>
      </w:tr>
      <w:tr>
        <w:tc>
          <w:tcPr>
            <w:tcW w:type="dxa" w:w="38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Marktlokation (MaLo-ID)</w:t>
            </w:r>
          </w:p>
        </w:tc>
        <w:tc>
          <w:tcPr>
            <w:tcW w:type="dxa" w:w="5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durch Vergabe des Netzbetreibers</w:t>
            </w:r>
          </w:p>
        </w:tc>
      </w:tr>
      <w:tr>
        <w:tc>
          <w:tcPr>
            <w:tcW w:type="dxa" w:w="38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Messlokation, Zählernummer, Zählerstand</w:t>
            </w:r>
          </w:p>
        </w:tc>
        <w:tc>
          <w:tcPr>
            <w:tcW w:type="dxa" w:w="58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bei der Zählersetzung vor Ort</w:t>
            </w:r>
          </w:p>
        </w:tc>
      </w:tr>
      <w:tr>
        <w:tc>
          <w:tcPr>
            <w:tcW w:type="dxa" w:w="38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IBAN und Kontoinhaber</w:t>
            </w:r>
          </w:p>
        </w:tc>
        <w:tc>
          <w:tcPr>
            <w:tcW w:type="dxa" w:w="5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durch Erklärung des Betreibers</w:t>
            </w:r>
          </w:p>
        </w:tc>
      </w:tr>
      <w:tr>
        <w:tc>
          <w:tcPr>
            <w:tcW w:type="dxa" w:w="38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Umsatzsteuerstatus</w:t>
            </w:r>
          </w:p>
        </w:tc>
        <w:tc>
          <w:tcPr>
            <w:tcW w:type="dxa" w:w="58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durch Erklärung des Betreibers</w:t>
            </w:r>
          </w:p>
        </w:tc>
      </w:tr>
      <w:tr>
        <w:tc>
          <w:tcPr>
            <w:tcW w:type="dxa" w:w="38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MaStR-Nummer</w:t>
            </w:r>
          </w:p>
        </w:tc>
        <w:tc>
          <w:tcPr>
            <w:tcW w:type="dxa" w:w="5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durch Registrierung des Betreibers, teils erst nach Inbetriebnahme</w:t>
            </w:r>
          </w:p>
        </w:tc>
      </w:tr>
    </w:tbl>
    <w:p>
      <w:pPr>
        <w:pBdr>
          <w:left w:val="single" w:color="8A5510" w:sz="18" w:space="12"/>
        </w:pBdr>
        <w:spacing w:after="160" w:before="160" w:line="280"/>
        <w:ind w:left="280"/>
      </w:pPr>
      <w:r>
        <w:rPr>
          <w:rFonts w:ascii="Arial" w:cs="Arial" w:eastAsia="Arial" w:hAnsi="Arial"/>
          <w:i/>
          <w:iCs/>
          <w:color w:val="8A5510"/>
          <w:sz w:val="20"/>
          <w:szCs w:val="20"/>
        </w:rPr>
        <w:t xml:space="preserve">Wo der heutige Weg Handarbeit erfordert, ist die Umstellung die Gelegenheit, das Feld stattdessen direkt in der Anmeldestrecke zu erheben. Das ist jetzt eine Konfiguration — dieselben Daten später bei Bestandsbetreibern nachzuerheben, dauert Monate.</w:t>
      </w:r>
    </w:p>
    <w:p>
      <w:r>
        <w:br w:type="page"/>
      </w:r>
    </w:p>
    <w:p>
      <w:pPr>
        <w:pStyle w:val="Heading1"/>
        <w:spacing w:after="200" w:before="360"/>
      </w:pPr>
      <w:r>
        <w:rPr>
          <w:rFonts w:ascii="Arial" w:cs="Arial" w:eastAsia="Arial" w:hAnsi="Arial"/>
          <w:b/>
          <w:bCs/>
          <w:color w:val="0E5A69"/>
          <w:sz w:val="30"/>
          <w:szCs w:val="30"/>
        </w:rPr>
        <w:t xml:space="preserve">7  Prüfungen — Ersatz der heutigen Handkontrolle</w:t>
      </w:r>
    </w:p>
    <w:p>
      <w:pPr>
        <w:spacing w:after="120" w:line="280"/>
      </w:pPr>
      <w:r>
        <w:rPr>
          <w:rFonts w:ascii="Arial" w:cs="Arial" w:eastAsia="Arial" w:hAnsi="Arial"/>
          <w:color w:val="1A1A1A"/>
          <w:sz w:val="21"/>
          <w:szCs w:val="21"/>
        </w:rPr>
        <w:t xml:space="preserve">Solange die Datei von Hand erzeugt wird, ist die Fehlerkontrolle implizit: Wer die Datei baut, bemerkt dabei, wenn etwas nicht stimmt. Diese Kontrolle entfällt mit der Automatisierung und muss ersetzt werden — durch Regeln im Lauf für alles Prüfbare und durch eine Klärliste für alles, was ein Mensch entscheiden muss.</w:t>
      </w:r>
    </w:p>
    <w:p>
      <w:pPr>
        <w:pBdr>
          <w:left w:val="single" w:color="0E5A69" w:sz="18" w:space="12"/>
        </w:pBdr>
        <w:spacing w:after="180" w:before="180" w:line="280"/>
        <w:ind w:left="280"/>
      </w:pPr>
      <w:r>
        <w:rPr>
          <w:rFonts w:ascii="Arial" w:cs="Arial" w:eastAsia="Arial" w:hAnsi="Arial"/>
          <w:b/>
          <w:bCs/>
          <w:color w:val="1A1A1A"/>
          <w:sz w:val="21"/>
          <w:szCs w:val="21"/>
        </w:rPr>
        <w:t xml:space="preserve">Grundsatz: Im Zweifel nicht liefern. Ein Vorgang in der Klärliste ist ein sichtbares Problem, ein falscher Wert in SAP ein unsichtbares.</w:t>
      </w:r>
    </w:p>
    <w:p>
      <w:pPr>
        <w:pStyle w:val="Heading2"/>
        <w:spacing w:after="140" w:before="280"/>
      </w:pPr>
      <w:r>
        <w:rPr>
          <w:rFonts w:ascii="Arial" w:cs="Arial" w:eastAsia="Arial" w:hAnsi="Arial"/>
          <w:b/>
          <w:bCs/>
          <w:color w:val="1A1A1A"/>
          <w:sz w:val="24"/>
          <w:szCs w:val="24"/>
        </w:rPr>
        <w:t xml:space="preserve">7.1  Fragen an die Sachbearbeitung</w:t>
      </w:r>
    </w:p>
    <w:p>
      <w:pPr>
        <w:spacing w:after="120" w:line="280"/>
      </w:pPr>
      <w:r>
        <w:rPr>
          <w:rFonts w:ascii="Arial" w:cs="Arial" w:eastAsia="Arial" w:hAnsi="Arial"/>
          <w:color w:val="1A1A1A"/>
          <w:sz w:val="21"/>
          <w:szCs w:val="21"/>
        </w:rPr>
        <w:t xml:space="preserve">Ein Termin, eine Stunde. Dies ist die eigentliche Konzeptarbeit:</w:t>
      </w:r>
    </w:p>
    <w:p>
      <w:pPr>
        <w:pStyle w:val="Heading3"/>
        <w:spacing w:after="100" w:before="200"/>
      </w:pPr>
      <w:r>
        <w:rPr>
          <w:rFonts w:ascii="Arial" w:cs="Arial" w:eastAsia="Arial" w:hAnsi="Arial"/>
          <w:b/>
          <w:bCs/>
          <w:color w:val="5A6A73"/>
          <w:sz w:val="21"/>
          <w:szCs w:val="21"/>
        </w:rPr>
        <w:t xml:space="preserve">Auswahl</w:t>
      </w:r>
    </w:p>
    <w:p>
      <w:pPr>
        <w:pStyle w:val="ListParagraph"/>
        <w:numPr>
          <w:ilvl w:val="0"/>
          <w:numId w:val="2"/>
        </w:numPr>
        <w:spacing w:after="80" w:line="280"/>
      </w:pPr>
      <w:r>
        <w:rPr>
          <w:rFonts w:ascii="Arial" w:cs="Arial" w:eastAsia="Arial" w:hAnsi="Arial"/>
          <w:color w:val="1A1A1A"/>
          <w:sz w:val="21"/>
          <w:szCs w:val="21"/>
        </w:rPr>
        <w:t xml:space="preserve">Woran erkennen Sie, welche Vorgänge in die nächste Datei gehören?</w:t>
      </w:r>
    </w:p>
    <w:p>
      <w:pPr>
        <w:pStyle w:val="ListParagraph"/>
        <w:numPr>
          <w:ilvl w:val="0"/>
          <w:numId w:val="2"/>
        </w:numPr>
        <w:spacing w:after="80" w:line="280"/>
      </w:pPr>
      <w:r>
        <w:rPr>
          <w:rFonts w:ascii="Arial" w:cs="Arial" w:eastAsia="Arial" w:hAnsi="Arial"/>
          <w:color w:val="1A1A1A"/>
          <w:sz w:val="21"/>
          <w:szCs w:val="21"/>
        </w:rPr>
        <w:t xml:space="preserve">Kommt es vor, dass Sie einen reifen Vorgang bewusst zurückhalten? Aus welchem Grund?</w:t>
      </w:r>
    </w:p>
    <w:p>
      <w:pPr>
        <w:pStyle w:val="ListParagraph"/>
        <w:numPr>
          <w:ilvl w:val="0"/>
          <w:numId w:val="2"/>
        </w:numPr>
        <w:spacing w:after="80" w:line="280"/>
      </w:pPr>
      <w:r>
        <w:rPr>
          <w:rFonts w:ascii="Arial" w:cs="Arial" w:eastAsia="Arial" w:hAnsi="Arial"/>
          <w:color w:val="1A1A1A"/>
          <w:sz w:val="21"/>
          <w:szCs w:val="21"/>
        </w:rPr>
        <w:t xml:space="preserve">Wie stellen Sie sicher, dass keiner doppelt geht — und keiner vergessen wird?</w:t>
      </w:r>
    </w:p>
    <w:p>
      <w:pPr>
        <w:pStyle w:val="Heading3"/>
        <w:spacing w:after="100" w:before="200"/>
      </w:pPr>
      <w:r>
        <w:rPr>
          <w:rFonts w:ascii="Arial" w:cs="Arial" w:eastAsia="Arial" w:hAnsi="Arial"/>
          <w:b/>
          <w:bCs/>
          <w:color w:val="5A6A73"/>
          <w:sz w:val="21"/>
          <w:szCs w:val="21"/>
        </w:rPr>
        <w:t xml:space="preserve">Prüfung</w:t>
      </w:r>
    </w:p>
    <w:p>
      <w:pPr>
        <w:pStyle w:val="ListParagraph"/>
        <w:numPr>
          <w:ilvl w:val="0"/>
          <w:numId w:val="2"/>
        </w:numPr>
        <w:spacing w:after="80" w:line="280"/>
      </w:pPr>
      <w:r>
        <w:rPr>
          <w:rFonts w:ascii="Arial" w:cs="Arial" w:eastAsia="Arial" w:hAnsi="Arial"/>
          <w:color w:val="1A1A1A"/>
          <w:sz w:val="21"/>
          <w:szCs w:val="21"/>
        </w:rPr>
        <w:t xml:space="preserve">Worauf schauen Sie, bevor Sie die Datei ablegen?</w:t>
      </w:r>
    </w:p>
    <w:p>
      <w:pPr>
        <w:pStyle w:val="ListParagraph"/>
        <w:numPr>
          <w:ilvl w:val="0"/>
          <w:numId w:val="2"/>
        </w:numPr>
        <w:spacing w:after="80" w:line="280"/>
      </w:pPr>
      <w:r>
        <w:rPr>
          <w:rFonts w:ascii="Arial" w:cs="Arial" w:eastAsia="Arial" w:hAnsi="Arial"/>
          <w:b/>
          <w:bCs/>
          <w:color w:val="1A1A1A"/>
          <w:sz w:val="21"/>
          <w:szCs w:val="21"/>
        </w:rPr>
        <w:t xml:space="preserve">Wann haben Sie zuletzt einen Vorgang wegen einer Auffälligkeit herausgenommen? Was war es?</w:t>
      </w:r>
    </w:p>
    <w:p>
      <w:pPr>
        <w:pStyle w:val="ListParagraph"/>
        <w:numPr>
          <w:ilvl w:val="0"/>
          <w:numId w:val="2"/>
        </w:numPr>
        <w:spacing w:after="80" w:line="280"/>
      </w:pPr>
      <w:r>
        <w:rPr>
          <w:rFonts w:ascii="Arial" w:cs="Arial" w:eastAsia="Arial" w:hAnsi="Arial"/>
          <w:color w:val="1A1A1A"/>
          <w:sz w:val="21"/>
          <w:szCs w:val="21"/>
        </w:rPr>
        <w:t xml:space="preserve">Bei welchen Angaben rufen Sie im Zweifel jemanden an?</w:t>
      </w:r>
    </w:p>
    <w:p>
      <w:pPr>
        <w:pStyle w:val="Heading3"/>
        <w:spacing w:after="100" w:before="200"/>
      </w:pPr>
      <w:r>
        <w:rPr>
          <w:rFonts w:ascii="Arial" w:cs="Arial" w:eastAsia="Arial" w:hAnsi="Arial"/>
          <w:b/>
          <w:bCs/>
          <w:color w:val="5A6A73"/>
          <w:sz w:val="21"/>
          <w:szCs w:val="21"/>
        </w:rPr>
        <w:t xml:space="preserve">Sonderfälle und Ablauf</w:t>
      </w:r>
    </w:p>
    <w:p>
      <w:pPr>
        <w:pStyle w:val="ListParagraph"/>
        <w:numPr>
          <w:ilvl w:val="0"/>
          <w:numId w:val="2"/>
        </w:numPr>
        <w:spacing w:after="80" w:line="280"/>
      </w:pPr>
      <w:r>
        <w:rPr>
          <w:rFonts w:ascii="Arial" w:cs="Arial" w:eastAsia="Arial" w:hAnsi="Arial"/>
          <w:color w:val="1A1A1A"/>
          <w:sz w:val="21"/>
          <w:szCs w:val="21"/>
        </w:rPr>
        <w:t xml:space="preserve">Welche Fälle behandeln Sie anders als den Normalfall?</w:t>
      </w:r>
    </w:p>
    <w:p>
      <w:pPr>
        <w:pStyle w:val="ListParagraph"/>
        <w:numPr>
          <w:ilvl w:val="0"/>
          <w:numId w:val="2"/>
        </w:numPr>
        <w:spacing w:after="80" w:line="280"/>
      </w:pPr>
      <w:r>
        <w:rPr>
          <w:rFonts w:ascii="Arial" w:cs="Arial" w:eastAsia="Arial" w:hAnsi="Arial"/>
          <w:color w:val="1A1A1A"/>
          <w:sz w:val="21"/>
          <w:szCs w:val="21"/>
        </w:rPr>
        <w:t xml:space="preserve">Wie oft machen Sie das, und wann? Was passiert während Ihres Urlaubs?</w:t>
      </w:r>
    </w:p>
    <w:p>
      <w:pPr>
        <w:pStyle w:val="ListParagraph"/>
        <w:numPr>
          <w:ilvl w:val="0"/>
          <w:numId w:val="2"/>
        </w:numPr>
        <w:spacing w:after="80" w:line="280"/>
      </w:pPr>
      <w:r>
        <w:rPr>
          <w:rFonts w:ascii="Arial" w:cs="Arial" w:eastAsia="Arial" w:hAnsi="Arial"/>
          <w:b/>
          <w:bCs/>
          <w:color w:val="1A1A1A"/>
          <w:sz w:val="21"/>
          <w:szCs w:val="21"/>
        </w:rPr>
        <w:t xml:space="preserve">Woher wissen Sie, dass SAP die Datei verarbeitet hat?</w:t>
      </w:r>
    </w:p>
    <w:p>
      <w:pPr>
        <w:pStyle w:val="ListParagraph"/>
        <w:numPr>
          <w:ilvl w:val="0"/>
          <w:numId w:val="2"/>
        </w:numPr>
        <w:spacing w:after="80" w:line="280"/>
      </w:pPr>
      <w:r>
        <w:rPr>
          <w:rFonts w:ascii="Arial" w:cs="Arial" w:eastAsia="Arial" w:hAnsi="Arial"/>
          <w:color w:val="1A1A1A"/>
          <w:sz w:val="21"/>
          <w:szCs w:val="21"/>
        </w:rPr>
        <w:t xml:space="preserve">Wie lange dauert ein Durchgang, und welcher Anteil davon ist die eigentliche Prüfung?</w:t>
      </w:r>
    </w:p>
    <w:p>
      <w:pPr>
        <w:pBdr>
          <w:left w:val="single" w:color="8A5510" w:sz="18" w:space="12"/>
        </w:pBdr>
        <w:spacing w:after="160" w:before="160" w:line="280"/>
        <w:ind w:left="280"/>
      </w:pPr>
      <w:r>
        <w:rPr>
          <w:rFonts w:ascii="Arial" w:cs="Arial" w:eastAsia="Arial" w:hAnsi="Arial"/>
          <w:i/>
          <w:iCs/>
          <w:color w:val="8A5510"/>
          <w:sz w:val="20"/>
          <w:szCs w:val="20"/>
        </w:rPr>
        <w:t xml:space="preserve">Die Antwort auf die letzte Frage ist das Nutzenargument. Die Antworten zu „Prüfung“ und „Sonderfälle“ sind die Anforderungen, ohne die die Automatisierung Schaden anrichtet.</w:t>
      </w:r>
    </w:p>
    <w:p>
      <w:r>
        <w:br w:type="page"/>
      </w:r>
    </w:p>
    <w:p>
      <w:pPr>
        <w:pStyle w:val="Heading1"/>
        <w:spacing w:after="200" w:before="360"/>
      </w:pPr>
      <w:r>
        <w:rPr>
          <w:rFonts w:ascii="Arial" w:cs="Arial" w:eastAsia="Arial" w:hAnsi="Arial"/>
          <w:b/>
          <w:bCs/>
          <w:color w:val="0E5A69"/>
          <w:sz w:val="30"/>
          <w:szCs w:val="30"/>
        </w:rPr>
        <w:t xml:space="preserve">8  Fehlerbehandlung und Betrieb</w:t>
      </w:r>
    </w:p>
    <w:p>
      <w:pPr>
        <w:pStyle w:val="Heading2"/>
        <w:spacing w:after="140" w:before="280"/>
      </w:pPr>
      <w:r>
        <w:rPr>
          <w:rFonts w:ascii="Arial" w:cs="Arial" w:eastAsia="Arial" w:hAnsi="Arial"/>
          <w:b/>
          <w:bCs/>
          <w:color w:val="1A1A1A"/>
          <w:sz w:val="24"/>
          <w:szCs w:val="24"/>
        </w:rPr>
        <w:t xml:space="preserve">8.1  Der wunde Punkt: keine Quittung</w:t>
      </w:r>
    </w:p>
    <w:p>
      <w:pPr>
        <w:spacing w:after="120" w:line="280"/>
      </w:pPr>
      <w:r>
        <w:rPr>
          <w:rFonts w:ascii="Arial" w:cs="Arial" w:eastAsia="Arial" w:hAnsi="Arial"/>
          <w:color w:val="1A1A1A"/>
          <w:sz w:val="21"/>
          <w:szCs w:val="21"/>
        </w:rPr>
        <w:t xml:space="preserve">Eine Dateischnittstelle hat keinen Rückkanal. Wenn SAP die Datei nicht verarbeiten kann, erfährt die liefernde Seite nichts davon — es sei denn, dafür wurde etwas eingerichtet.</w:t>
      </w:r>
    </w:p>
    <w:p>
      <w:pPr>
        <w:spacing w:after="120" w:line="280"/>
      </w:pPr>
      <w:r>
        <w:rPr>
          <w:rFonts w:ascii="Arial" w:cs="Arial" w:eastAsia="Arial" w:hAnsi="Arial"/>
          <w:color w:val="1A1A1A"/>
          <w:sz w:val="21"/>
          <w:szCs w:val="21"/>
        </w:rPr>
        <w:t xml:space="preserve">Drei Fragen an den Bestand:</w:t>
      </w:r>
    </w:p>
    <w:p>
      <w:pPr>
        <w:pStyle w:val="ListParagraph"/>
        <w:numPr>
          <w:ilvl w:val="0"/>
          <w:numId w:val="2"/>
        </w:numPr>
        <w:spacing w:after="80" w:line="280"/>
      </w:pPr>
      <w:r>
        <w:rPr>
          <w:rFonts w:ascii="Arial" w:cs="Arial" w:eastAsia="Arial" w:hAnsi="Arial"/>
          <w:color w:val="1A1A1A"/>
          <w:sz w:val="21"/>
          <w:szCs w:val="21"/>
        </w:rPr>
        <w:t xml:space="preserve">Wie wird heute bemerkt, dass ein Import fehlgeschlagen ist?</w:t>
      </w:r>
    </w:p>
    <w:p>
      <w:pPr>
        <w:pStyle w:val="ListParagraph"/>
        <w:numPr>
          <w:ilvl w:val="0"/>
          <w:numId w:val="2"/>
        </w:numPr>
        <w:spacing w:after="80" w:line="280"/>
      </w:pPr>
      <w:r>
        <w:rPr>
          <w:rFonts w:ascii="Arial" w:cs="Arial" w:eastAsia="Arial" w:hAnsi="Arial"/>
          <w:color w:val="1A1A1A"/>
          <w:sz w:val="21"/>
          <w:szCs w:val="21"/>
        </w:rPr>
        <w:t xml:space="preserve">Was geschieht bei einem Teilfehler — sind die Zeilen vor dem Abbruch verbucht?</w:t>
      </w:r>
    </w:p>
    <w:p>
      <w:pPr>
        <w:pStyle w:val="ListParagraph"/>
        <w:numPr>
          <w:ilvl w:val="0"/>
          <w:numId w:val="2"/>
        </w:numPr>
        <w:spacing w:after="80" w:line="280"/>
      </w:pPr>
      <w:r>
        <w:rPr>
          <w:rFonts w:ascii="Arial" w:cs="Arial" w:eastAsia="Arial" w:hAnsi="Arial"/>
          <w:b/>
          <w:bCs/>
          <w:color w:val="1A1A1A"/>
          <w:sz w:val="21"/>
          <w:szCs w:val="21"/>
        </w:rPr>
        <w:t xml:space="preserve">Was geschieht, wenn die Datei gar nicht erst abgeholt wird? </w:t>
      </w:r>
      <w:r>
        <w:rPr>
          <w:rFonts w:ascii="Arial" w:cs="Arial" w:eastAsia="Arial" w:hAnsi="Arial"/>
          <w:color w:val="1A1A1A"/>
          <w:sz w:val="21"/>
          <w:szCs w:val="21"/>
        </w:rPr>
        <w:t xml:space="preserve">Das ist der stille Fall: kein Fehler, keine Meldung, die Vorgänge stehen einfach nicht in SAP.</w:t>
      </w:r>
    </w:p>
    <w:p>
      <w:pPr>
        <w:pBdr>
          <w:left w:val="single" w:color="0E5A69" w:sz="18" w:space="12"/>
        </w:pBdr>
        <w:spacing w:after="180" w:before="180" w:line="280"/>
        <w:ind w:left="280"/>
      </w:pPr>
      <w:r>
        <w:rPr>
          <w:rFonts w:ascii="Arial" w:cs="Arial" w:eastAsia="Arial" w:hAnsi="Arial"/>
          <w:b/>
          <w:bCs/>
          <w:color w:val="1A1A1A"/>
          <w:sz w:val="21"/>
          <w:szCs w:val="21"/>
        </w:rPr>
        <w:t xml:space="preserve">Solange es kein Rückprotokoll gibt, braucht es einen Abgleich statt einer Fehlerquote: gelieferte Zeilen gegen angelegte Datensätze, regelmäßig und automatisch.</w:t>
      </w:r>
    </w:p>
    <w:p>
      <w:pPr>
        <w:pStyle w:val="Heading2"/>
        <w:spacing w:after="140" w:before="280"/>
      </w:pPr>
      <w:r>
        <w:rPr>
          <w:rFonts w:ascii="Arial" w:cs="Arial" w:eastAsia="Arial" w:hAnsi="Arial"/>
          <w:b/>
          <w:bCs/>
          <w:color w:val="1A1A1A"/>
          <w:sz w:val="24"/>
          <w:szCs w:val="24"/>
        </w:rPr>
        <w:t xml:space="preserve">8.2  Behandlung nach Fehlerklasse</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2400"/>
        <w:gridCol w:w="3400"/>
        <w:gridCol w:w="3838"/>
      </w:tblGrid>
      <w:tr>
        <w:trPr>
          <w:tblHeader/>
        </w:trPr>
        <w:tc>
          <w:tcPr>
            <w:tcW w:type="dxa" w:w="2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Klasse</w:t>
            </w:r>
          </w:p>
        </w:tc>
        <w:tc>
          <w:tcPr>
            <w:tcW w:type="dxa" w:w="3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Beispiel</w:t>
            </w:r>
          </w:p>
        </w:tc>
        <w:tc>
          <w:tcPr>
            <w:tcW w:type="dxa" w:w="38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Verhalten</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Fachlich unvollständig</w:t>
            </w:r>
          </w:p>
        </w:tc>
        <w:tc>
          <w:tcPr>
            <w:tcW w:type="dxa" w:w="34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MaStR-Nummer oder IBAN fehlt</w:t>
            </w:r>
          </w:p>
        </w:tc>
        <w:tc>
          <w:tcPr>
            <w:tcW w:type="dxa" w:w="3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keine Übertragung; Vorgang in die Klärliste, Nachforderung beim Betreiber</w:t>
            </w:r>
          </w:p>
        </w:tc>
      </w:tr>
      <w:tr>
        <w:tc>
          <w:tcPr>
            <w:tcW w:type="dxa" w:w="2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Fachlich unplausibel</w:t>
            </w:r>
          </w:p>
        </w:tc>
        <w:tc>
          <w:tcPr>
            <w:tcW w:type="dxa" w:w="34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Leistung weicht stark vom Antrag ab, Datum in der Zukunft</w:t>
            </w:r>
          </w:p>
        </w:tc>
        <w:tc>
          <w:tcPr>
            <w:tcW w:type="dxa" w:w="38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Prüfung durch die Sachbearbeitung vor Übertragung</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Nicht darstellbares Zeichen</w:t>
            </w:r>
          </w:p>
        </w:tc>
        <w:tc>
          <w:tcPr>
            <w:tcW w:type="dxa" w:w="34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Name mit Zeichen außerhalb der Zielkodierung</w:t>
            </w:r>
          </w:p>
        </w:tc>
        <w:tc>
          <w:tcPr>
            <w:tcW w:type="dxa" w:w="3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Vorgang in die Klärliste — niemals still ersetzen</w:t>
            </w:r>
          </w:p>
        </w:tc>
      </w:tr>
      <w:tr>
        <w:tc>
          <w:tcPr>
            <w:tcW w:type="dxa" w:w="2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Technisch vorübergehend</w:t>
            </w:r>
          </w:p>
        </w:tc>
        <w:tc>
          <w:tcPr>
            <w:tcW w:type="dxa" w:w="34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Zielsystem nicht erreichbar</w:t>
            </w:r>
          </w:p>
        </w:tc>
        <w:tc>
          <w:tcPr>
            <w:tcW w:type="dxa" w:w="38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Wiederholung, danach Alarm</w:t>
            </w:r>
          </w:p>
        </w:tc>
      </w:tr>
      <w:tr>
        <w:tc>
          <w:tcPr>
            <w:tcW w:type="dxa" w:w="2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Technisch dauerhaft</w:t>
            </w:r>
          </w:p>
        </w:tc>
        <w:tc>
          <w:tcPr>
            <w:tcW w:type="dxa" w:w="34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Anmeldung abgelehnt, Verzeichnis nicht beschreibbar</w:t>
            </w:r>
          </w:p>
        </w:tc>
        <w:tc>
          <w:tcPr>
            <w:tcW w:type="dxa" w:w="3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sofortiger Alarm, keine stille Wiederholung</w:t>
            </w:r>
          </w:p>
        </w:tc>
      </w:tr>
    </w:tbl>
    <w:p>
      <w:pPr>
        <w:pStyle w:val="Heading2"/>
        <w:spacing w:after="140" w:before="280"/>
      </w:pPr>
      <w:r>
        <w:rPr>
          <w:rFonts w:ascii="Arial" w:cs="Arial" w:eastAsia="Arial" w:hAnsi="Arial"/>
          <w:b/>
          <w:bCs/>
          <w:color w:val="1A1A1A"/>
          <w:sz w:val="24"/>
          <w:szCs w:val="24"/>
        </w:rPr>
        <w:t xml:space="preserve">8.3  Kennzahl für den Betrieb</w:t>
      </w:r>
    </w:p>
    <w:p>
      <w:pPr>
        <w:spacing w:after="120" w:line="280"/>
      </w:pPr>
      <w:r>
        <w:rPr>
          <w:rFonts w:ascii="Arial" w:cs="Arial" w:eastAsia="Arial" w:hAnsi="Arial"/>
          <w:color w:val="1A1A1A"/>
          <w:sz w:val="21"/>
          <w:szCs w:val="21"/>
        </w:rPr>
        <w:t xml:space="preserve">Die eine Zahl, die zählt: </w:t>
      </w:r>
      <w:r>
        <w:rPr>
          <w:rFonts w:ascii="Arial" w:cs="Arial" w:eastAsia="Arial" w:hAnsi="Arial"/>
          <w:b/>
          <w:bCs/>
          <w:color w:val="1A1A1A"/>
          <w:sz w:val="21"/>
          <w:szCs w:val="21"/>
        </w:rPr>
        <w:t xml:space="preserve">Anzahl inbetriebgesetzter Anlagen ohne Stammdatensatz in SAP, nach Alter.</w:t>
      </w:r>
      <w:r>
        <w:rPr>
          <w:rFonts w:ascii="Arial" w:cs="Arial" w:eastAsia="Arial" w:hAnsi="Arial"/>
          <w:color w:val="1A1A1A"/>
          <w:sz w:val="21"/>
          <w:szCs w:val="21"/>
        </w:rPr>
        <w:t xml:space="preserve"> Sie zeigt, ob die Strecke trägt. Eine reine Fehlerquote tut das nicht — ein Vorgang, der gar nicht erst losläuft, erzeugt keinen Fehler.</w:t>
      </w:r>
    </w:p>
    <w:p>
      <w:r>
        <w:br w:type="page"/>
      </w:r>
    </w:p>
    <w:p>
      <w:pPr>
        <w:pStyle w:val="Heading1"/>
        <w:spacing w:after="200" w:before="360"/>
      </w:pPr>
      <w:r>
        <w:rPr>
          <w:rFonts w:ascii="Arial" w:cs="Arial" w:eastAsia="Arial" w:hAnsi="Arial"/>
          <w:b/>
          <w:bCs/>
          <w:color w:val="0E5A69"/>
          <w:sz w:val="30"/>
          <w:szCs w:val="30"/>
        </w:rPr>
        <w:t xml:space="preserve">9  Sicherheit und Datenschutz</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3000"/>
        <w:gridCol w:w="6638"/>
      </w:tblGrid>
      <w:tr>
        <w:trPr>
          <w:tblHeader/>
        </w:trPr>
        <w:tc>
          <w:tcPr>
            <w:tcW w:type="dxa" w:w="30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Aspekt</w:t>
            </w:r>
          </w:p>
        </w:tc>
        <w:tc>
          <w:tcPr>
            <w:tcW w:type="dxa" w:w="66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Bewertung / offener Punkt</w:t>
            </w:r>
          </w:p>
        </w:tc>
      </w:tr>
      <w:tr>
        <w:tc>
          <w:tcPr>
            <w:tcW w:type="dxa" w:w="3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Personenbezogene Daten</w:t>
            </w:r>
          </w:p>
        </w:tc>
        <w:tc>
          <w:tcPr>
            <w:tcW w:type="dxa" w:w="66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ja — Betreiber sind überwiegend Privatpersonen: Name, Anschrift, Bankverbindung, Steuermerkmale</w:t>
            </w:r>
          </w:p>
        </w:tc>
      </w:tr>
      <w:tr>
        <w:tc>
          <w:tcPr>
            <w:tcW w:type="dxa" w:w="3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Bankverbindung</w:t>
            </w:r>
          </w:p>
        </w:tc>
        <w:tc>
          <w:tcPr>
            <w:tcW w:type="dxa" w:w="66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erhöhter Schutzbedarf; Protokollierung ausschließlich maskiert</w:t>
            </w:r>
          </w:p>
        </w:tc>
      </w:tr>
      <w:tr>
        <w:tc>
          <w:tcPr>
            <w:tcW w:type="dxa" w:w="3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Rechtsgrundlage</w:t>
            </w:r>
          </w:p>
        </w:tc>
        <w:tc>
          <w:tcPr>
            <w:tcW w:type="dxa" w:w="66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einzutragen</w:t>
            </w:r>
          </w:p>
        </w:tc>
      </w:tr>
      <w:tr>
        <w:tc>
          <w:tcPr>
            <w:tcW w:type="dxa" w:w="3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Verarbeitungsverzeichnis</w:t>
            </w:r>
          </w:p>
        </w:tc>
        <w:tc>
          <w:tcPr>
            <w:tcW w:type="dxa" w:w="66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Eintrag zu ergänzen</w:t>
            </w:r>
          </w:p>
        </w:tc>
      </w:tr>
      <w:tr>
        <w:tc>
          <w:tcPr>
            <w:tcW w:type="dxa" w:w="3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Löschfristen</w:t>
            </w:r>
          </w:p>
        </w:tc>
        <w:tc>
          <w:tcPr>
            <w:tcW w:type="dxa" w:w="66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in SAP nach steuerlichen Aufbewahrungsfristen, in epilot abweichend — bewusst zu entscheiden und zu dokumentieren</w:t>
            </w:r>
          </w:p>
        </w:tc>
      </w:tr>
      <w:tr>
        <w:tc>
          <w:tcPr>
            <w:tcW w:type="dxa" w:w="3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Netzzugang</w:t>
            </w:r>
          </w:p>
        </w:tc>
        <w:tc>
          <w:tcPr>
            <w:tcW w:type="dxa" w:w="66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ausschließlich ausgehendes HTTPS; keine eingehende Freigabe erforderlich</w:t>
            </w:r>
          </w:p>
        </w:tc>
      </w:tr>
      <w:tr>
        <w:tc>
          <w:tcPr>
            <w:tcW w:type="dxa" w:w="30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Zugangsdaten</w:t>
            </w:r>
          </w:p>
        </w:tc>
        <w:tc>
          <w:tcPr>
            <w:tcW w:type="dxa" w:w="66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Access Token im Azure Key Vault, Erneuerung überwacht</w:t>
            </w:r>
          </w:p>
        </w:tc>
      </w:tr>
      <w:tr>
        <w:tc>
          <w:tcPr>
            <w:tcW w:type="dxa" w:w="30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Klärliste</w:t>
            </w:r>
          </w:p>
        </w:tc>
        <w:tc>
          <w:tcPr>
            <w:tcW w:type="dxa" w:w="66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enthält Vorgangskennungen, keine personenbezogenen Inhalte — durch Test abgesichert</w:t>
            </w:r>
          </w:p>
        </w:tc>
      </w:tr>
    </w:tbl>
    <w:p>
      <w:r>
        <w:br w:type="page"/>
      </w:r>
    </w:p>
    <w:p>
      <w:pPr>
        <w:pStyle w:val="Heading1"/>
        <w:spacing w:after="200" w:before="360"/>
      </w:pPr>
      <w:r>
        <w:rPr>
          <w:rFonts w:ascii="Arial" w:cs="Arial" w:eastAsia="Arial" w:hAnsi="Arial"/>
          <w:b/>
          <w:bCs/>
          <w:color w:val="0E5A69"/>
          <w:sz w:val="30"/>
          <w:szCs w:val="30"/>
        </w:rPr>
        <w:t xml:space="preserve">10  Umsetzung</w:t>
      </w:r>
    </w:p>
    <w:p>
      <w:pPr>
        <w:pStyle w:val="Heading2"/>
        <w:spacing w:after="140" w:before="280"/>
      </w:pPr>
      <w:r>
        <w:rPr>
          <w:rFonts w:ascii="Arial" w:cs="Arial" w:eastAsia="Arial" w:hAnsi="Arial"/>
          <w:b/>
          <w:bCs/>
          <w:color w:val="1A1A1A"/>
          <w:sz w:val="24"/>
          <w:szCs w:val="24"/>
        </w:rPr>
        <w:t xml:space="preserve">10.1  Stand der technischen Arbeiten</w:t>
      </w:r>
    </w:p>
    <w:p>
      <w:pPr>
        <w:spacing w:after="120" w:line="280"/>
      </w:pPr>
      <w:r>
        <w:rPr>
          <w:rFonts w:ascii="Arial" w:cs="Arial" w:eastAsia="Arial" w:hAnsi="Arial"/>
          <w:color w:val="1A1A1A"/>
          <w:sz w:val="21"/>
          <w:szCs w:val="21"/>
        </w:rPr>
        <w:t xml:space="preserve">Der Export-Lauf ist gebaut und läuft gegen Testdaten. Tragendes Prinzip: Alles, was aus der Erhebung stammt, steht in einer Konfigurationsdatei — Kodierung, Trennzeichen, Zeilenende, Spaltenreihenfolge, Datumsformate, Wertelisten und Prüfregeln. Der Code kennt keine SAP-Feldnamen.</w:t>
      </w:r>
    </w:p>
    <w:p>
      <w:pPr>
        <w:spacing w:after="120" w:line="280"/>
      </w:pPr>
      <w:r>
        <w:rPr>
          <w:rFonts w:ascii="Arial" w:cs="Arial" w:eastAsia="Arial" w:hAnsi="Arial"/>
          <w:color w:val="1A1A1A"/>
          <w:sz w:val="21"/>
          <w:szCs w:val="21"/>
        </w:rPr>
        <w:t xml:space="preserve">Dadurch ist die Umsetzung bereits nutzbar, obwohl das Zielformat noch offen ist: Bringt der Rücklauf Überraschungen, ändert sich eine Konfigurationsdatei, kein Programmcode. Ein Hilfsprogramm erzeugt diese Konfiguration direkt aus der ausgefüllten Erhebungsmappe.</w:t>
      </w:r>
    </w:p>
    <w:p>
      <w:pPr>
        <w:spacing w:after="120" w:line="280"/>
      </w:pPr>
      <w:r>
        <w:rPr>
          <w:rFonts w:ascii="Arial" w:cs="Arial" w:eastAsia="Arial" w:hAnsi="Arial"/>
          <w:color w:val="1A1A1A"/>
          <w:sz w:val="21"/>
          <w:szCs w:val="21"/>
        </w:rPr>
        <w:t xml:space="preserve">Abgesichert sind unter anderem:</w:t>
      </w:r>
    </w:p>
    <w:p>
      <w:pPr>
        <w:pStyle w:val="ListParagraph"/>
        <w:numPr>
          <w:ilvl w:val="0"/>
          <w:numId w:val="2"/>
        </w:numPr>
        <w:spacing w:after="80" w:line="280"/>
      </w:pPr>
      <w:r>
        <w:rPr>
          <w:rFonts w:ascii="Arial" w:cs="Arial" w:eastAsia="Arial" w:hAnsi="Arial"/>
          <w:color w:val="1A1A1A"/>
          <w:sz w:val="21"/>
          <w:szCs w:val="21"/>
        </w:rPr>
        <w:t xml:space="preserve">das Dateiformat byteweise — Zeilenende, Kodierung, Maskierung, Byte Order Mark</w:t>
      </w:r>
    </w:p>
    <w:p>
      <w:pPr>
        <w:pStyle w:val="ListParagraph"/>
        <w:numPr>
          <w:ilvl w:val="0"/>
          <w:numId w:val="2"/>
        </w:numPr>
        <w:spacing w:after="80" w:line="280"/>
      </w:pPr>
      <w:r>
        <w:rPr>
          <w:rFonts w:ascii="Arial" w:cs="Arial" w:eastAsia="Arial" w:hAnsi="Arial"/>
          <w:color w:val="1A1A1A"/>
          <w:sz w:val="21"/>
          <w:szCs w:val="21"/>
        </w:rPr>
        <w:t xml:space="preserve">die atomare Ablage: keine halb geschriebene Datei kann abgeholt werden</w:t>
      </w:r>
    </w:p>
    <w:p>
      <w:pPr>
        <w:pStyle w:val="ListParagraph"/>
        <w:numPr>
          <w:ilvl w:val="0"/>
          <w:numId w:val="2"/>
        </w:numPr>
        <w:spacing w:after="80" w:line="280"/>
      </w:pPr>
      <w:r>
        <w:rPr>
          <w:rFonts w:ascii="Arial" w:cs="Arial" w:eastAsia="Arial" w:hAnsi="Arial"/>
          <w:color w:val="1A1A1A"/>
          <w:sz w:val="21"/>
          <w:szCs w:val="21"/>
        </w:rPr>
        <w:t xml:space="preserve">der Lauf mit einer Attrappe der Schnittstelle, einschließlich Ausfall beim Statusschreiben</w:t>
      </w:r>
    </w:p>
    <w:p>
      <w:pPr>
        <w:pStyle w:val="ListParagraph"/>
        <w:numPr>
          <w:ilvl w:val="0"/>
          <w:numId w:val="2"/>
        </w:numPr>
        <w:spacing w:after="80" w:line="280"/>
      </w:pPr>
      <w:r>
        <w:rPr>
          <w:rFonts w:ascii="Arial" w:cs="Arial" w:eastAsia="Arial" w:hAnsi="Arial"/>
          <w:color w:val="1A1A1A"/>
          <w:sz w:val="21"/>
          <w:szCs w:val="21"/>
        </w:rPr>
        <w:t xml:space="preserve">dass die Klärliste keine personenbezogenen Daten enthält</w:t>
      </w:r>
    </w:p>
    <w:p>
      <w:pPr>
        <w:pStyle w:val="Heading2"/>
        <w:spacing w:after="140" w:before="280"/>
      </w:pPr>
      <w:r>
        <w:rPr>
          <w:rFonts w:ascii="Arial" w:cs="Arial" w:eastAsia="Arial" w:hAnsi="Arial"/>
          <w:b/>
          <w:bCs/>
          <w:color w:val="1A1A1A"/>
          <w:sz w:val="24"/>
          <w:szCs w:val="24"/>
        </w:rPr>
        <w:t xml:space="preserve">10.2  Einführung in zwei Stufen</w:t>
      </w:r>
    </w:p>
    <w:p>
      <w:pPr>
        <w:spacing w:after="120" w:line="280"/>
      </w:pPr>
      <w:r>
        <w:rPr>
          <w:rFonts w:ascii="Arial" w:cs="Arial" w:eastAsia="Arial" w:hAnsi="Arial"/>
          <w:color w:val="1A1A1A"/>
          <w:sz w:val="21"/>
          <w:szCs w:val="21"/>
        </w:rPr>
        <w:t xml:space="preserve">Weil der Prozess heute manuell ist, besteht ein risikoarmer Weg, den ein Neubau nicht hätte:</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1600"/>
        <w:gridCol w:w="4200"/>
        <w:gridCol w:w="3838"/>
      </w:tblGrid>
      <w:tr>
        <w:trPr>
          <w:tblHeader/>
        </w:trPr>
        <w:tc>
          <w:tcPr>
            <w:tcW w:type="dxa" w:w="16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Stufe</w:t>
            </w:r>
          </w:p>
        </w:tc>
        <w:tc>
          <w:tcPr>
            <w:tcW w:type="dxa" w:w="42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Ablauf</w:t>
            </w:r>
          </w:p>
        </w:tc>
        <w:tc>
          <w:tcPr>
            <w:tcW w:type="dxa" w:w="38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Wirkung</w:t>
            </w:r>
          </w:p>
        </w:tc>
      </w:tr>
      <w:tr>
        <w:tc>
          <w:tcPr>
            <w:tcW w:type="dxa" w:w="16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Stufe 1</w:t>
            </w:r>
          </w:p>
        </w:tc>
        <w:tc>
          <w:tcPr>
            <w:tcW w:type="dxa" w:w="4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Der Lauf schreibt in einen Prüfordner. Dieselbe Person sieht die Datei durch und verschiebt sie auf das Netzlaufwerk.</w:t>
            </w:r>
          </w:p>
        </w:tc>
        <w:tc>
          <w:tcPr>
            <w:tcW w:type="dxa" w:w="38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Der Zeitaufwand sinkt sofort, das Risiko bleibt bei null. Jede Abweichung fällt genau der Person auf, die sie erkennen kann.</w:t>
            </w:r>
          </w:p>
        </w:tc>
      </w:tr>
      <w:tr>
        <w:tc>
          <w:tcPr>
            <w:tcW w:type="dxa" w:w="16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Stufe 2</w:t>
            </w:r>
          </w:p>
        </w:tc>
        <w:tc>
          <w:tcPr>
            <w:tcW w:type="dxa" w:w="4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Nach einer vereinbarten Zahl beanstandungsfreier Läufe schreibt der Lauf direkt.</w:t>
            </w:r>
          </w:p>
        </w:tc>
        <w:tc>
          <w:tcPr>
            <w:tcW w:type="dxa" w:w="38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Die in Stufe 1 aufgefallenen Prüfungen sind bis dahin als Regeln abgebildet.</w:t>
            </w:r>
          </w:p>
        </w:tc>
      </w:tr>
    </w:tbl>
    <w:p>
      <w:pPr>
        <w:pBdr>
          <w:left w:val="single" w:color="8A5510" w:sz="18" w:space="12"/>
        </w:pBdr>
        <w:spacing w:after="160" w:before="160" w:line="280"/>
        <w:ind w:left="280"/>
      </w:pPr>
      <w:r>
        <w:rPr>
          <w:rFonts w:ascii="Arial" w:cs="Arial" w:eastAsia="Arial" w:hAnsi="Arial"/>
          <w:i/>
          <w:iCs/>
          <w:color w:val="8A5510"/>
          <w:sz w:val="20"/>
          <w:szCs w:val="20"/>
        </w:rPr>
        <w:t xml:space="preserve">Stufe 1 ist keine Zwischenlösung, sondern die Testphase mit Produktivdaten — und sie kostet nahezu nichts.</w:t>
      </w:r>
    </w:p>
    <w:p>
      <w:pPr>
        <w:pStyle w:val="Heading2"/>
        <w:spacing w:after="140" w:before="280"/>
      </w:pPr>
      <w:r>
        <w:rPr>
          <w:rFonts w:ascii="Arial" w:cs="Arial" w:eastAsia="Arial" w:hAnsi="Arial"/>
          <w:b/>
          <w:bCs/>
          <w:color w:val="1A1A1A"/>
          <w:sz w:val="24"/>
          <w:szCs w:val="24"/>
        </w:rPr>
        <w:t xml:space="preserve">10.3  Phasen</w:t>
      </w:r>
    </w:p>
    <w:p>
      <w:pPr>
        <w:spacing w:after="120" w:line="280"/>
      </w:pPr>
      <w:r>
        <w:rPr>
          <w:rFonts w:ascii="Arial" w:cs="Arial" w:eastAsia="Arial" w:hAnsi="Arial"/>
          <w:i/>
          <w:iCs/>
          <w:color w:val="1A1A1A"/>
          <w:sz w:val="21"/>
          <w:szCs w:val="21"/>
        </w:rPr>
        <w:t xml:space="preserve">Größenordnungen für die Planung, keine belastbaren Schätzungen. Sie setzen voraus, dass das epilot-Datenmodell für Netzanschlussanfragen steht.</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900"/>
        <w:gridCol w:w="4200"/>
        <w:gridCol w:w="1400"/>
        <w:gridCol w:w="3138"/>
      </w:tblGrid>
      <w:tr>
        <w:trPr>
          <w:tblHeader/>
        </w:trPr>
        <w:tc>
          <w:tcPr>
            <w:tcW w:type="dxa" w:w="9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Phase</w:t>
            </w:r>
          </w:p>
        </w:tc>
        <w:tc>
          <w:tcPr>
            <w:tcW w:type="dxa" w:w="42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Inhalt</w:t>
            </w:r>
          </w:p>
        </w:tc>
        <w:tc>
          <w:tcPr>
            <w:tcW w:type="dxa" w:w="1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Aufwand</w:t>
            </w:r>
          </w:p>
        </w:tc>
        <w:tc>
          <w:tcPr>
            <w:tcW w:type="dxa" w:w="31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Ergebnis</w:t>
            </w:r>
          </w:p>
        </w:tc>
      </w:tr>
      <w:tr>
        <w:tc>
          <w:tcPr>
            <w:tcW w:type="dxa" w:w="9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1</w:t>
            </w:r>
          </w:p>
        </w:tc>
        <w:tc>
          <w:tcPr>
            <w:tcW w:type="dxa" w:w="4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Erhebung: Gespräch, Originaldatei, Format aufnehmen</w:t>
            </w:r>
          </w:p>
        </w:tc>
        <w:tc>
          <w:tcPr>
            <w:tcW w:type="dxa" w:w="14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2–3 PT</w:t>
            </w:r>
          </w:p>
        </w:tc>
        <w:tc>
          <w:tcPr>
            <w:tcW w:type="dxa" w:w="3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Prüfregeln, Formatspezifikation</w:t>
            </w:r>
          </w:p>
        </w:tc>
      </w:tr>
      <w:tr>
        <w:tc>
          <w:tcPr>
            <w:tcW w:type="dxa" w:w="9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2</w:t>
            </w:r>
          </w:p>
        </w:tc>
        <w:tc>
          <w:tcPr>
            <w:tcW w:type="dxa" w:w="4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Werkzeugentscheidung</w:t>
            </w:r>
          </w:p>
        </w:tc>
        <w:tc>
          <w:tcPr>
            <w:tcW w:type="dxa" w:w="14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1 PT</w:t>
            </w:r>
          </w:p>
        </w:tc>
        <w:tc>
          <w:tcPr>
            <w:tcW w:type="dxa" w:w="31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folgt aus Phase 1</w:t>
            </w:r>
          </w:p>
        </w:tc>
      </w:tr>
      <w:tr>
        <w:tc>
          <w:tcPr>
            <w:tcW w:type="dxa" w:w="9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3</w:t>
            </w:r>
          </w:p>
        </w:tc>
        <w:tc>
          <w:tcPr>
            <w:tcW w:type="dxa" w:w="4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epilot: Übertragungsstatus, fehlende Felder in der Strecke</w:t>
            </w:r>
          </w:p>
        </w:tc>
        <w:tc>
          <w:tcPr>
            <w:tcW w:type="dxa" w:w="14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2–4 PT</w:t>
            </w:r>
          </w:p>
        </w:tc>
        <w:tc>
          <w:tcPr>
            <w:tcW w:type="dxa" w:w="3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saubere Selektion</w:t>
            </w:r>
          </w:p>
        </w:tc>
      </w:tr>
      <w:tr>
        <w:tc>
          <w:tcPr>
            <w:tcW w:type="dxa" w:w="9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4</w:t>
            </w:r>
          </w:p>
        </w:tc>
        <w:tc>
          <w:tcPr>
            <w:tcW w:type="dxa" w:w="4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Erzeugung: Abruf, Transformation, Datei</w:t>
            </w:r>
          </w:p>
        </w:tc>
        <w:tc>
          <w:tcPr>
            <w:tcW w:type="dxa" w:w="14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5–8 PT</w:t>
            </w:r>
          </w:p>
        </w:tc>
        <w:tc>
          <w:tcPr>
            <w:tcW w:type="dxa" w:w="31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Datei entsteht</w:t>
            </w:r>
          </w:p>
        </w:tc>
      </w:tr>
      <w:tr>
        <w:tc>
          <w:tcPr>
            <w:tcW w:type="dxa" w:w="9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5</w:t>
            </w:r>
          </w:p>
        </w:tc>
        <w:tc>
          <w:tcPr>
            <w:tcW w:type="dxa" w:w="4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Prüfregeln und Klärliste</w:t>
            </w:r>
          </w:p>
        </w:tc>
        <w:tc>
          <w:tcPr>
            <w:tcW w:type="dxa" w:w="14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2–3 PT</w:t>
            </w:r>
          </w:p>
        </w:tc>
        <w:tc>
          <w:tcPr>
            <w:tcW w:type="dxa" w:w="3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Ersatz der Handkontrolle</w:t>
            </w:r>
          </w:p>
        </w:tc>
      </w:tr>
      <w:tr>
        <w:tc>
          <w:tcPr>
            <w:tcW w:type="dxa" w:w="9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6</w:t>
            </w:r>
          </w:p>
        </w:tc>
        <w:tc>
          <w:tcPr>
            <w:tcW w:type="dxa" w:w="4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Zustellung: Gateway, atomare Übergabe</w:t>
            </w:r>
          </w:p>
        </w:tc>
        <w:tc>
          <w:tcPr>
            <w:tcW w:type="dxa" w:w="14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1–2 PT</w:t>
            </w:r>
          </w:p>
        </w:tc>
        <w:tc>
          <w:tcPr>
            <w:tcW w:type="dxa" w:w="31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Datei liegt richtig</w:t>
            </w:r>
          </w:p>
        </w:tc>
      </w:tr>
      <w:tr>
        <w:tc>
          <w:tcPr>
            <w:tcW w:type="dxa" w:w="9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7</w:t>
            </w:r>
          </w:p>
        </w:tc>
        <w:tc>
          <w:tcPr>
            <w:tcW w:type="dxa" w:w="4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Vergleichstest gegen reale Altdateien</w:t>
            </w:r>
          </w:p>
        </w:tc>
        <w:tc>
          <w:tcPr>
            <w:tcW w:type="dxa" w:w="14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3–5 PT</w:t>
            </w:r>
          </w:p>
        </w:tc>
        <w:tc>
          <w:tcPr>
            <w:tcW w:type="dxa" w:w="3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byteweise Gleichheit</w:t>
            </w:r>
          </w:p>
        </w:tc>
      </w:tr>
      <w:tr>
        <w:tc>
          <w:tcPr>
            <w:tcW w:type="dxa" w:w="9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8</w:t>
            </w:r>
          </w:p>
        </w:tc>
        <w:tc>
          <w:tcPr>
            <w:tcW w:type="dxa" w:w="4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Stufe 1 im Betrieb</w:t>
            </w:r>
          </w:p>
        </w:tc>
        <w:tc>
          <w:tcPr>
            <w:tcW w:type="dxa" w:w="14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4–6 Wochen</w:t>
            </w:r>
          </w:p>
        </w:tc>
        <w:tc>
          <w:tcPr>
            <w:tcW w:type="dxa" w:w="31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Vertrauen</w:t>
            </w:r>
          </w:p>
        </w:tc>
      </w:tr>
      <w:tr>
        <w:tc>
          <w:tcPr>
            <w:tcW w:type="dxa" w:w="9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9</w:t>
            </w:r>
          </w:p>
        </w:tc>
        <w:tc>
          <w:tcPr>
            <w:tcW w:type="dxa" w:w="4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Umstellung auf Stufe 2</w:t>
            </w:r>
          </w:p>
        </w:tc>
        <w:tc>
          <w:tcPr>
            <w:tcW w:type="dxa" w:w="14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1 PT</w:t>
            </w:r>
          </w:p>
        </w:tc>
        <w:tc>
          <w:tcPr>
            <w:tcW w:type="dxa" w:w="3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Handgriff entfällt</w:t>
            </w:r>
          </w:p>
        </w:tc>
      </w:tr>
    </w:tbl>
    <w:p>
      <w:pPr>
        <w:pBdr>
          <w:left w:val="single" w:color="0E5A69" w:sz="18" w:space="12"/>
        </w:pBdr>
        <w:spacing w:after="180" w:before="180" w:line="280"/>
        <w:ind w:left="280"/>
      </w:pPr>
      <w:r>
        <w:rPr>
          <w:rFonts w:ascii="Arial" w:cs="Arial" w:eastAsia="Arial" w:hAnsi="Arial"/>
          <w:b/>
          <w:bCs/>
          <w:color w:val="1A1A1A"/>
          <w:sz w:val="21"/>
          <w:szCs w:val="21"/>
        </w:rPr>
        <w:t xml:space="preserve">Kritischer Pfad ist Phase 1. Ohne die Originaldatei ist die Werkzeugentscheidung nicht zu treffen, ohne das Gespräch fehlen die Prüfregeln. Beides ist in einer Woche erledigt, wenn die Termine stehen.</w:t>
      </w:r>
    </w:p>
    <w:p>
      <w:r>
        <w:br w:type="page"/>
      </w:r>
    </w:p>
    <w:p>
      <w:pPr>
        <w:pStyle w:val="Heading1"/>
        <w:spacing w:after="200" w:before="360"/>
      </w:pPr>
      <w:r>
        <w:rPr>
          <w:rFonts w:ascii="Arial" w:cs="Arial" w:eastAsia="Arial" w:hAnsi="Arial"/>
          <w:b/>
          <w:bCs/>
          <w:color w:val="0E5A69"/>
          <w:sz w:val="30"/>
          <w:szCs w:val="30"/>
        </w:rPr>
        <w:t xml:space="preserve">11  Offene Punkte</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700"/>
        <w:gridCol w:w="5200"/>
        <w:gridCol w:w="2000"/>
        <w:gridCol w:w="1738"/>
      </w:tblGrid>
      <w:tr>
        <w:trPr>
          <w:tblHeader/>
        </w:trPr>
        <w:tc>
          <w:tcPr>
            <w:tcW w:type="dxa" w:w="7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Nr</w:t>
            </w:r>
          </w:p>
        </w:tc>
        <w:tc>
          <w:tcPr>
            <w:tcW w:type="dxa" w:w="52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Punkt</w:t>
            </w:r>
          </w:p>
        </w:tc>
        <w:tc>
          <w:tcPr>
            <w:tcW w:type="dxa" w:w="20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Entscheidet</w:t>
            </w:r>
          </w:p>
        </w:tc>
        <w:tc>
          <w:tcPr>
            <w:tcW w:type="dxa" w:w="17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Stand</w:t>
            </w:r>
          </w:p>
        </w:tc>
      </w:tr>
      <w:tr>
        <w:tc>
          <w:tcPr>
            <w:tcW w:type="dxa" w:w="7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1</w:t>
            </w:r>
          </w:p>
        </w:tc>
        <w:tc>
          <w:tcPr>
            <w:tcW w:type="dxa" w:w="5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Zielformat bleibt CSV</w:t>
            </w:r>
          </w:p>
        </w:tc>
        <w:tc>
          <w:tcPr>
            <w:tcW w:type="dxa" w:w="20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t>
            </w:r>
          </w:p>
        </w:tc>
        <w:tc>
          <w:tcPr>
            <w:tcW w:type="dxa" w:w="17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entschieden</w:t>
            </w:r>
          </w:p>
        </w:tc>
      </w:tr>
      <w:tr>
        <w:tc>
          <w:tcPr>
            <w:tcW w:type="dxa" w:w="7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2</w:t>
            </w:r>
          </w:p>
        </w:tc>
        <w:tc>
          <w:tcPr>
            <w:tcW w:type="dxa" w:w="5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Ablageort Netzlaufwerk</w:t>
            </w:r>
          </w:p>
        </w:tc>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t>
            </w:r>
          </w:p>
        </w:tc>
        <w:tc>
          <w:tcPr>
            <w:tcW w:type="dxa" w:w="17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entschieden</w:t>
            </w:r>
          </w:p>
        </w:tc>
      </w:tr>
      <w:tr>
        <w:tc>
          <w:tcPr>
            <w:tcW w:type="dxa" w:w="7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3</w:t>
            </w:r>
          </w:p>
        </w:tc>
        <w:tc>
          <w:tcPr>
            <w:tcW w:type="dxa" w:w="5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Gespräch mit der Person, die die Datei heute erzeugt</w:t>
            </w:r>
          </w:p>
        </w:tc>
        <w:tc>
          <w:tcPr>
            <w:tcW w:type="dxa" w:w="20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Cluster</w:t>
            </w:r>
          </w:p>
        </w:tc>
        <w:tc>
          <w:tcPr>
            <w:tcW w:type="dxa" w:w="17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r>
        <w:tc>
          <w:tcPr>
            <w:tcW w:type="dxa" w:w="7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4</w:t>
            </w:r>
          </w:p>
        </w:tc>
        <w:tc>
          <w:tcPr>
            <w:tcW w:type="dxa" w:w="5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Originaldatei besorgen, Kodierung feststellen</w:t>
            </w:r>
          </w:p>
        </w:tc>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Fachbereich</w:t>
            </w:r>
          </w:p>
        </w:tc>
        <w:tc>
          <w:tcPr>
            <w:tcW w:type="dxa" w:w="17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r>
        <w:tc>
          <w:tcPr>
            <w:tcW w:type="dxa" w:w="7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5</w:t>
            </w:r>
          </w:p>
        </w:tc>
        <w:tc>
          <w:tcPr>
            <w:tcW w:type="dxa" w:w="5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Werkzeugwahl — folgt aus Punkt 4</w:t>
            </w:r>
          </w:p>
        </w:tc>
        <w:tc>
          <w:tcPr>
            <w:tcW w:type="dxa" w:w="20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IT-Architektur</w:t>
            </w:r>
          </w:p>
        </w:tc>
        <w:tc>
          <w:tcPr>
            <w:tcW w:type="dxa" w:w="17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r>
        <w:tc>
          <w:tcPr>
            <w:tcW w:type="dxa" w:w="7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6</w:t>
            </w:r>
          </w:p>
        </w:tc>
        <w:tc>
          <w:tcPr>
            <w:tcW w:type="dxa" w:w="5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Wird Databricks bereits produktiv betrieben?</w:t>
            </w:r>
          </w:p>
        </w:tc>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IT-Architektur</w:t>
            </w:r>
          </w:p>
        </w:tc>
        <w:tc>
          <w:tcPr>
            <w:tcW w:type="dxa" w:w="17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r>
        <w:tc>
          <w:tcPr>
            <w:tcW w:type="dxa" w:w="7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7</w:t>
            </w:r>
          </w:p>
        </w:tc>
        <w:tc>
          <w:tcPr>
            <w:tcW w:type="dxa" w:w="5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Pfad und Schreibrechte auf dem Netzlaufwerk</w:t>
            </w:r>
          </w:p>
        </w:tc>
        <w:tc>
          <w:tcPr>
            <w:tcW w:type="dxa" w:w="20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IT-Betrieb</w:t>
            </w:r>
          </w:p>
        </w:tc>
        <w:tc>
          <w:tcPr>
            <w:tcW w:type="dxa" w:w="17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r>
        <w:tc>
          <w:tcPr>
            <w:tcW w:type="dxa" w:w="7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8</w:t>
            </w:r>
          </w:p>
        </w:tc>
        <w:tc>
          <w:tcPr>
            <w:tcW w:type="dxa" w:w="5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Wie wird heute ein fehlgeschlagener Import bemerkt?</w:t>
            </w:r>
          </w:p>
        </w:tc>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SAP-Betrieb</w:t>
            </w:r>
          </w:p>
        </w:tc>
        <w:tc>
          <w:tcPr>
            <w:tcW w:type="dxa" w:w="17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r>
        <w:tc>
          <w:tcPr>
            <w:tcW w:type="dxa" w:w="7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9</w:t>
            </w:r>
          </w:p>
        </w:tc>
        <w:tc>
          <w:tcPr>
            <w:tcW w:type="dxa" w:w="5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IBAN und Umsatzsteuerstatus in der Anmeldestrecke erheben?</w:t>
            </w:r>
          </w:p>
        </w:tc>
        <w:tc>
          <w:tcPr>
            <w:tcW w:type="dxa" w:w="20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Fachbereich</w:t>
            </w:r>
          </w:p>
        </w:tc>
        <w:tc>
          <w:tcPr>
            <w:tcW w:type="dxa" w:w="17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r>
        <w:tc>
          <w:tcPr>
            <w:tcW w:type="dxa" w:w="7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10</w:t>
            </w:r>
          </w:p>
        </w:tc>
        <w:tc>
          <w:tcPr>
            <w:tcW w:type="dxa" w:w="52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Vertretungsregel — heute personenabhängig</w:t>
            </w:r>
          </w:p>
        </w:tc>
        <w:tc>
          <w:tcPr>
            <w:tcW w:type="dxa" w:w="20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Fachbereich</w:t>
            </w:r>
          </w:p>
        </w:tc>
        <w:tc>
          <w:tcPr>
            <w:tcW w:type="dxa" w:w="17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r>
        <w:tc>
          <w:tcPr>
            <w:tcW w:type="dxa" w:w="7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11</w:t>
            </w:r>
          </w:p>
        </w:tc>
        <w:tc>
          <w:tcPr>
            <w:tcW w:type="dxa" w:w="52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Dauer der Stufe 1 und Kriterium für den Übergang</w:t>
            </w:r>
          </w:p>
        </w:tc>
        <w:tc>
          <w:tcPr>
            <w:tcW w:type="dxa" w:w="20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Fachbereich</w:t>
            </w:r>
          </w:p>
        </w:tc>
        <w:tc>
          <w:tcPr>
            <w:tcW w:type="dxa" w:w="17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offen</w:t>
            </w:r>
          </w:p>
        </w:tc>
      </w:tr>
    </w:tbl>
    <w:p>
      <w:pPr>
        <w:spacing w:after="200"/>
      </w:pPr>
    </w:p>
    <w:p>
      <w:pPr>
        <w:pStyle w:val="Heading2"/>
        <w:spacing w:after="140" w:before="280"/>
      </w:pPr>
      <w:r>
        <w:rPr>
          <w:rFonts w:ascii="Arial" w:cs="Arial" w:eastAsia="Arial" w:hAnsi="Arial"/>
          <w:b/>
          <w:bCs/>
          <w:color w:val="1A1A1A"/>
          <w:sz w:val="24"/>
          <w:szCs w:val="24"/>
        </w:rPr>
        <w:t xml:space="preserve">Nächste Schritte</w:t>
      </w:r>
    </w:p>
    <w:p>
      <w:pPr>
        <w:pStyle w:val="ListParagraph"/>
        <w:numPr>
          <w:ilvl w:val="0"/>
          <w:numId w:val="2"/>
        </w:numPr>
        <w:spacing w:after="80" w:line="280"/>
      </w:pPr>
      <w:r>
        <w:rPr>
          <w:rFonts w:ascii="Arial" w:cs="Arial" w:eastAsia="Arial" w:hAnsi="Arial"/>
          <w:b/>
          <w:bCs/>
          <w:color w:val="1A1A1A"/>
          <w:sz w:val="21"/>
          <w:szCs w:val="21"/>
        </w:rPr>
        <w:t xml:space="preserve">Eine produktive Original-CSV besorgen und die Kodierung feststellen </w:t>
      </w:r>
      <w:r>
        <w:rPr>
          <w:rFonts w:ascii="Arial" w:cs="Arial" w:eastAsia="Arial" w:hAnsi="Arial"/>
          <w:color w:val="1A1A1A"/>
          <w:sz w:val="21"/>
          <w:szCs w:val="21"/>
        </w:rPr>
        <w:t xml:space="preserve">— entscheidet die Werkzeugwahl</w:t>
      </w:r>
    </w:p>
    <w:p>
      <w:pPr>
        <w:pStyle w:val="ListParagraph"/>
        <w:numPr>
          <w:ilvl w:val="0"/>
          <w:numId w:val="2"/>
        </w:numPr>
        <w:spacing w:after="80" w:line="280"/>
      </w:pPr>
      <w:r>
        <w:rPr>
          <w:rFonts w:ascii="Arial" w:cs="Arial" w:eastAsia="Arial" w:hAnsi="Arial"/>
          <w:b/>
          <w:bCs/>
          <w:color w:val="1A1A1A"/>
          <w:sz w:val="21"/>
          <w:szCs w:val="21"/>
        </w:rPr>
        <w:t xml:space="preserve">Eine Stunde mit der Person, die die Datei heute erzeugt </w:t>
      </w:r>
      <w:r>
        <w:rPr>
          <w:rFonts w:ascii="Arial" w:cs="Arial" w:eastAsia="Arial" w:hAnsi="Arial"/>
          <w:color w:val="1A1A1A"/>
          <w:sz w:val="21"/>
          <w:szCs w:val="21"/>
        </w:rPr>
        <w:t xml:space="preserve">— liefert die Prüfregeln</w:t>
      </w:r>
    </w:p>
    <w:p>
      <w:pPr>
        <w:pStyle w:val="ListParagraph"/>
        <w:numPr>
          <w:ilvl w:val="0"/>
          <w:numId w:val="2"/>
        </w:numPr>
        <w:spacing w:after="80" w:line="280"/>
      </w:pPr>
      <w:r>
        <w:rPr>
          <w:rFonts w:ascii="Arial" w:cs="Arial" w:eastAsia="Arial" w:hAnsi="Arial"/>
          <w:color w:val="1A1A1A"/>
          <w:sz w:val="21"/>
          <w:szCs w:val="21"/>
        </w:rPr>
        <w:t xml:space="preserve">Erhebungsmappe an die SAP-Seite geben, Rücklauffrist vereinbaren</w:t>
      </w:r>
    </w:p>
    <w:p>
      <w:r>
        <w:br w:type="page"/>
      </w:r>
    </w:p>
    <w:p>
      <w:pPr>
        <w:pStyle w:val="Heading1"/>
        <w:spacing w:after="200" w:before="360"/>
      </w:pPr>
      <w:r>
        <w:rPr>
          <w:rFonts w:ascii="Arial" w:cs="Arial" w:eastAsia="Arial" w:hAnsi="Arial"/>
          <w:b/>
          <w:bCs/>
          <w:color w:val="0E5A69"/>
          <w:sz w:val="30"/>
          <w:szCs w:val="30"/>
        </w:rPr>
        <w:t xml:space="preserve">Anhang A  epilot-Plattform im Überblick</w:t>
      </w:r>
    </w:p>
    <w:p>
      <w:pPr>
        <w:spacing w:after="120" w:line="280"/>
      </w:pPr>
      <w:r>
        <w:rPr>
          <w:rFonts w:ascii="Arial" w:cs="Arial" w:eastAsia="Arial" w:hAnsi="Arial"/>
          <w:color w:val="1A1A1A"/>
          <w:sz w:val="21"/>
          <w:szCs w:val="21"/>
        </w:rPr>
        <w:t xml:space="preserve">epilot ist kein Monolith mit einer Schnittstelle, sondern eine Sammlung eigenständiger Dienste — 51 APIs mit zusammen 1141 Operationen. Jeder Dienst hat eine eigene Adresse; Authentifizierung und Fehlerformat sind einheitlich. Der Einstieg ist praktisch immer die Entity-API: Kontakte, Aufträge, Produkte und Anfragen sind Entities mit konfigurierbarem Datenmodell.</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3200"/>
        <w:gridCol w:w="5138"/>
        <w:gridCol w:w="1300"/>
      </w:tblGrid>
      <w:tr>
        <w:trPr>
          <w:tblHeader/>
        </w:trPr>
        <w:tc>
          <w:tcPr>
            <w:tcW w:type="dxa" w:w="32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Domäne</w:t>
            </w:r>
          </w:p>
        </w:tc>
        <w:tc>
          <w:tcPr>
            <w:tcW w:type="dxa" w:w="51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Beispiele</w:t>
            </w:r>
          </w:p>
        </w:tc>
        <w:tc>
          <w:tcPr>
            <w:tcW w:type="dxa" w:w="13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APIs</w:t>
            </w:r>
          </w:p>
        </w:tc>
      </w:tr>
      <w:tr>
        <w:tc>
          <w:tcPr>
            <w:tcW w:type="dxa" w:w="32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Daten und Modell</w:t>
            </w:r>
          </w:p>
        </w:tc>
        <w:tc>
          <w:tcPr>
            <w:tcW w:type="dxa" w:w="5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Entity, Query, Deduplizierung, Datenmodell-Verwaltung</w:t>
            </w:r>
          </w:p>
        </w:tc>
        <w:tc>
          <w:tcPr>
            <w:tcW w:type="dxa" w:w="13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11</w:t>
            </w:r>
          </w:p>
        </w:tc>
      </w:tr>
      <w:tr>
        <w:tc>
          <w:tcPr>
            <w:tcW w:type="dxa" w:w="32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Vertrieb und Kundenschnittstelle</w:t>
            </w:r>
          </w:p>
        </w:tc>
        <w:tc>
          <w:tcPr>
            <w:tcW w:type="dxa" w:w="51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Journey, Preise, Kundenportal, Partner</w:t>
            </w:r>
          </w:p>
        </w:tc>
        <w:tc>
          <w:tcPr>
            <w:tcW w:type="dxa" w:w="13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9</w:t>
            </w:r>
          </w:p>
        </w:tc>
      </w:tr>
      <w:tr>
        <w:tc>
          <w:tcPr>
            <w:tcW w:type="dxa" w:w="32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Prozesse und Automatisierung</w:t>
            </w:r>
          </w:p>
        </w:tc>
        <w:tc>
          <w:tcPr>
            <w:tcW w:type="dxa" w:w="5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Workflows, Automationen, Kanban, Kalender</w:t>
            </w:r>
          </w:p>
        </w:tc>
        <w:tc>
          <w:tcPr>
            <w:tcW w:type="dxa" w:w="13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8</w:t>
            </w:r>
          </w:p>
        </w:tc>
      </w:tr>
      <w:tr>
        <w:tc>
          <w:tcPr>
            <w:tcW w:type="dxa" w:w="32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Kommunikation und Dokumente</w:t>
            </w:r>
          </w:p>
        </w:tc>
        <w:tc>
          <w:tcPr>
            <w:tcW w:type="dxa" w:w="51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Nachrichten, Vorlagen, Dateiablage</w:t>
            </w:r>
          </w:p>
        </w:tc>
        <w:tc>
          <w:tcPr>
            <w:tcW w:type="dxa" w:w="13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7</w:t>
            </w:r>
          </w:p>
        </w:tc>
      </w:tr>
      <w:tr>
        <w:tc>
          <w:tcPr>
            <w:tcW w:type="dxa" w:w="32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Abrechnung und Messwesen</w:t>
            </w:r>
          </w:p>
        </w:tc>
        <w:tc>
          <w:tcPr>
            <w:tcW w:type="dxa" w:w="5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Billing, Metering</w:t>
            </w:r>
          </w:p>
        </w:tc>
        <w:tc>
          <w:tcPr>
            <w:tcW w:type="dxa" w:w="13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2</w:t>
            </w:r>
          </w:p>
        </w:tc>
      </w:tr>
      <w:tr>
        <w:tc>
          <w:tcPr>
            <w:tcW w:type="dxa" w:w="32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Plattform und Zugriff</w:t>
            </w:r>
          </w:p>
        </w:tc>
        <w:tc>
          <w:tcPr>
            <w:tcW w:type="dxa" w:w="51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Apps, Webhooks, Tokens, Nutzer, Rechte</w:t>
            </w:r>
          </w:p>
        </w:tc>
        <w:tc>
          <w:tcPr>
            <w:tcW w:type="dxa" w:w="1300"/>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11</w:t>
            </w:r>
          </w:p>
        </w:tc>
      </w:tr>
      <w:tr>
        <w:tc>
          <w:tcPr>
            <w:tcW w:type="dxa" w:w="32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Hilfsdienste</w:t>
            </w:r>
          </w:p>
        </w:tc>
        <w:tc>
          <w:tcPr>
            <w:tcW w:type="dxa" w:w="51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Adresse, IBAN-Prüfung</w:t>
            </w:r>
          </w:p>
        </w:tc>
        <w:tc>
          <w:tcPr>
            <w:tcW w:type="dxa" w:w="1300"/>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3</w:t>
            </w:r>
          </w:p>
        </w:tc>
      </w:tr>
    </w:tbl>
    <w:p>
      <w:pPr>
        <w:pStyle w:val="Heading3"/>
        <w:spacing w:after="100" w:before="200"/>
      </w:pPr>
      <w:r>
        <w:rPr>
          <w:rFonts w:ascii="Arial" w:cs="Arial" w:eastAsia="Arial" w:hAnsi="Arial"/>
          <w:b/>
          <w:bCs/>
          <w:color w:val="5A6A73"/>
          <w:sz w:val="21"/>
          <w:szCs w:val="21"/>
        </w:rPr>
        <w:t xml:space="preserve">Zwei Fallstricke bei der Anbindung</w:t>
      </w:r>
    </w:p>
    <w:p>
      <w:pPr>
        <w:pStyle w:val="ListParagraph"/>
        <w:numPr>
          <w:ilvl w:val="0"/>
          <w:numId w:val="2"/>
        </w:numPr>
        <w:spacing w:after="80" w:line="280"/>
      </w:pPr>
      <w:r>
        <w:rPr>
          <w:rFonts w:ascii="Arial" w:cs="Arial" w:eastAsia="Arial" w:hAnsi="Arial"/>
          <w:b/>
          <w:bCs/>
          <w:color w:val="1A1A1A"/>
          <w:sz w:val="21"/>
          <w:szCs w:val="21"/>
        </w:rPr>
        <w:t xml:space="preserve">Vier getrennte Zugangsarten. </w:t>
      </w:r>
      <w:r>
        <w:rPr>
          <w:rFonts w:ascii="Arial" w:cs="Arial" w:eastAsia="Arial" w:hAnsi="Arial"/>
          <w:color w:val="1A1A1A"/>
          <w:sz w:val="21"/>
          <w:szCs w:val="21"/>
        </w:rPr>
        <w:t xml:space="preserve">Mitarbeiter- und Integrationszugriff, anonymer Zugriff aus einer Online-Strecke, Portalnutzer und externe Identitätsanbieter werden unterschiedlich authentifiziert.</w:t>
      </w:r>
    </w:p>
    <w:p>
      <w:pPr>
        <w:pStyle w:val="ListParagraph"/>
        <w:numPr>
          <w:ilvl w:val="0"/>
          <w:numId w:val="2"/>
        </w:numPr>
        <w:spacing w:after="80" w:line="280"/>
      </w:pPr>
      <w:r>
        <w:rPr>
          <w:rFonts w:ascii="Arial" w:cs="Arial" w:eastAsia="Arial" w:hAnsi="Arial"/>
          <w:b/>
          <w:bCs/>
          <w:color w:val="1A1A1A"/>
          <w:sz w:val="21"/>
          <w:szCs w:val="21"/>
        </w:rPr>
        <w:t xml:space="preserve">Der Header für den Organisationskontext ist nicht einheitlich benannt. </w:t>
      </w:r>
      <w:r>
        <w:rPr>
          <w:rFonts w:ascii="Arial" w:cs="Arial" w:eastAsia="Arial" w:hAnsi="Arial"/>
          <w:color w:val="1A1A1A"/>
          <w:sz w:val="21"/>
          <w:szCs w:val="21"/>
        </w:rPr>
        <w:t xml:space="preserve">In den meisten Diensten heißt er x-epilot-org-id, in einigen x-ivy-org-id.</w:t>
      </w:r>
    </w:p>
    <w:p>
      <w:pPr>
        <w:spacing w:after="160"/>
      </w:pPr>
    </w:p>
    <w:p>
      <w:pPr>
        <w:pStyle w:val="Heading1"/>
        <w:spacing w:after="200" w:before="360"/>
      </w:pPr>
      <w:r>
        <w:rPr>
          <w:rFonts w:ascii="Arial" w:cs="Arial" w:eastAsia="Arial" w:hAnsi="Arial"/>
          <w:b/>
          <w:bCs/>
          <w:color w:val="0E5A69"/>
          <w:sz w:val="30"/>
          <w:szCs w:val="30"/>
        </w:rPr>
        <w:t xml:space="preserve">Anhang B  Ablage der Arbeitsergebnisse</w:t>
      </w:r>
    </w:p>
    <w:p>
      <w:pPr>
        <w:spacing w:after="120" w:line="280"/>
      </w:pPr>
      <w:r>
        <w:rPr>
          <w:rFonts w:ascii="Arial" w:cs="Arial" w:eastAsia="Arial" w:hAnsi="Arial"/>
          <w:color w:val="1A1A1A"/>
          <w:sz w:val="21"/>
          <w:szCs w:val="21"/>
        </w:rPr>
        <w:t xml:space="preserve">Alle Unterlagen liegen im Repository StefanStanley/Claude im Ordner epilot:</w:t>
      </w:r>
    </w:p>
    <w:tbl>
      <w:tblPr>
        <w:tblW w:type="dxa" w:w="9638"/>
        <w:tblBorders>
          <w:top w:val="single" w:color="C9D3D9" w:sz="4"/>
          <w:left w:val="none" w:color="FFFFFF" w:sz="0"/>
          <w:bottom w:val="single" w:color="C9D3D9" w:sz="4"/>
          <w:right w:val="none" w:color="FFFFFF" w:sz="0"/>
          <w:insideH w:val="single" w:color="C9D3D9" w:sz="2"/>
          <w:insideV w:val="none" w:color="FFFFFF" w:sz="0"/>
        </w:tblBorders>
      </w:tblPr>
      <w:tblGrid>
        <w:gridCol w:w="4400"/>
        <w:gridCol w:w="5238"/>
      </w:tblGrid>
      <w:tr>
        <w:trPr>
          <w:tblHeader/>
        </w:trPr>
        <w:tc>
          <w:tcPr>
            <w:tcW w:type="dxa" w:w="4400"/>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Pfad</w:t>
            </w:r>
          </w:p>
        </w:tc>
        <w:tc>
          <w:tcPr>
            <w:tcW w:type="dxa" w:w="5238"/>
            <w:shd w:fill="1F3B42" w:color="auto" w:val="clear"/>
            <w:tcMar>
              <w:top w:type="dxa" w:w="70"/>
              <w:left w:type="dxa" w:w="110"/>
              <w:bottom w:type="dxa" w:w="70"/>
              <w:right w:type="dxa" w:w="110"/>
            </w:tcMar>
          </w:tcPr>
          <w:p>
            <w:pPr>
              <w:spacing w:after="0" w:line="260"/>
            </w:pPr>
            <w:r>
              <w:rPr>
                <w:rFonts w:ascii="Arial" w:cs="Arial" w:eastAsia="Arial" w:hAnsi="Arial"/>
                <w:b/>
                <w:bCs/>
                <w:color w:val="FFFFFF"/>
                <w:sz w:val="18"/>
                <w:szCs w:val="18"/>
              </w:rPr>
              <w:t xml:space="preserve">Inhalt</w:t>
            </w:r>
          </w:p>
        </w:tc>
      </w:tr>
      <w:tr>
        <w:tc>
          <w:tcPr>
            <w:tcW w:type="dxa" w:w="4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epilot/README.md</w:t>
            </w:r>
          </w:p>
        </w:tc>
        <w:tc>
          <w:tcPr>
            <w:tcW w:type="dxa" w:w="5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Einstieg und Kurzfassung</w:t>
            </w:r>
          </w:p>
        </w:tc>
      </w:tr>
      <w:tr>
        <w:tc>
          <w:tcPr>
            <w:tcW w:type="dxa" w:w="4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epilot/api-referenz/</w:t>
            </w:r>
          </w:p>
        </w:tc>
        <w:tc>
          <w:tcPr>
            <w:tcW w:type="dxa" w:w="52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51 APIs mit allen Operationen, Authentifizierung</w:t>
            </w:r>
          </w:p>
        </w:tc>
      </w:tr>
      <w:tr>
        <w:tc>
          <w:tcPr>
            <w:tcW w:type="dxa" w:w="4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epilot/schnittstellenkonzept/</w:t>
            </w:r>
          </w:p>
        </w:tc>
        <w:tc>
          <w:tcPr>
            <w:tcW w:type="dxa" w:w="5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Vorgehen, Vorlage, Beispiel, SK-001 im Volltext</w:t>
            </w:r>
          </w:p>
        </w:tc>
      </w:tr>
      <w:tr>
        <w:tc>
          <w:tcPr>
            <w:tcW w:type="dxa" w:w="4400"/>
            <w:shd w:fill="F2F5F6" w:color="auto" w:val="clear"/>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epilot/schnittstellenkonzept/erhebung/</w:t>
            </w:r>
          </w:p>
        </w:tc>
        <w:tc>
          <w:tcPr>
            <w:tcW w:type="dxa" w:w="5238"/>
            <w:shd w:fill="F2F5F6" w:color="auto" w:val="clear"/>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Arbeitsmappe für die SAP-Seite</w:t>
            </w:r>
          </w:p>
        </w:tc>
      </w:tr>
      <w:tr>
        <w:tc>
          <w:tcPr>
            <w:tcW w:type="dxa" w:w="4400"/>
            <w:tcMar>
              <w:top w:type="dxa" w:w="70"/>
              <w:left w:type="dxa" w:w="110"/>
              <w:bottom w:type="dxa" w:w="70"/>
              <w:right w:type="dxa" w:w="110"/>
            </w:tcMar>
          </w:tcPr>
          <w:p>
            <w:pPr>
              <w:spacing w:after="0" w:line="260"/>
            </w:pPr>
            <w:r>
              <w:rPr>
                <w:rFonts w:ascii="Arial" w:cs="Arial" w:eastAsia="Arial" w:hAnsi="Arial"/>
                <w:b/>
                <w:bCs/>
                <w:color w:val="1A1A1A"/>
                <w:sz w:val="19"/>
                <w:szCs w:val="19"/>
              </w:rPr>
              <w:t xml:space="preserve">epilot/schnittstellenkonzept/umsetzung/</w:t>
            </w:r>
          </w:p>
        </w:tc>
        <w:tc>
          <w:tcPr>
            <w:tcW w:type="dxa" w:w="5238"/>
            <w:tcMar>
              <w:top w:type="dxa" w:w="70"/>
              <w:left w:type="dxa" w:w="110"/>
              <w:bottom w:type="dxa" w:w="70"/>
              <w:right w:type="dxa" w:w="110"/>
            </w:tcMar>
          </w:tcPr>
          <w:p>
            <w:pPr>
              <w:spacing w:after="0" w:line="260"/>
            </w:pPr>
            <w:r>
              <w:rPr>
                <w:rFonts w:ascii="Arial" w:cs="Arial" w:eastAsia="Arial" w:hAnsi="Arial"/>
                <w:b w:val="false"/>
                <w:bCs w:val="false"/>
                <w:color w:val="1A1A1A"/>
                <w:sz w:val="19"/>
                <w:szCs w:val="19"/>
              </w:rPr>
              <w:t xml:space="preserve">Export-Lauf mit Tests und Konfigurationsvorlage</w:t>
            </w:r>
          </w:p>
        </w:tc>
      </w:tr>
    </w:tbl>
    <w:p>
      <w:pPr>
        <w:spacing w:after="200"/>
      </w:pPr>
    </w:p>
    <w:p>
      <w:pPr>
        <w:spacing w:after="120" w:line="280"/>
      </w:pPr>
      <w:r>
        <w:rPr>
          <w:rFonts w:ascii="Arial" w:cs="Arial" w:eastAsia="Arial" w:hAnsi="Arial"/>
          <w:i/>
          <w:iCs/>
          <w:color w:val="5A6A73"/>
          <w:sz w:val="21"/>
          <w:szCs w:val="21"/>
        </w:rPr>
        <w:t xml:space="preserve">Die API-Referenz wurde aus den offiziellen OpenAPI-Spezifikationen des epilot-SDK erzeugt, nicht aus abgeschriebener Dokumentation, und lässt sich jederzeit neu erzeugen.</w:t>
      </w:r>
    </w:p>
    <w:sectPr>
      <w:headerReference w:type="default" r:id="rId7"/>
      <w:footerReference w:type="default" r:id="rId8"/>
      <w:pgSz w:w="11905" w:h="16837" w:orient="portrait"/>
      <w:pgMar w:top="1247" w:right="1133" w:bottom="1133"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A6A73"/>
        <w:sz w:val="16"/>
        <w:szCs w:val="16"/>
      </w:rPr>
      <w:t xml:space="preserve">Seite </w:t>
    </w:r>
    <w:r>
      <w:rPr>
        <w:rFonts w:ascii="Arial" w:cs="Arial" w:eastAsia="Arial" w:hAnsi="Arial"/>
        <w:color w:val="5A6A73"/>
        <w:sz w:val="16"/>
        <w:szCs w:val="16"/>
      </w:rPr>
      <w:fldChar w:fldCharType="begin"/>
      <w:instrText xml:space="preserve">PAGE</w:instrText>
      <w:fldChar w:fldCharType="separate"/>
      <w:fldChar w:fldCharType="end"/>
    </w:r>
    <w:r>
      <w:rPr>
        <w:rFonts w:ascii="Arial" w:cs="Arial" w:eastAsia="Arial" w:hAnsi="Arial"/>
        <w:color w:val="5A6A73"/>
        <w:sz w:val="16"/>
        <w:szCs w:val="16"/>
      </w:rPr>
      <w:t xml:space="preserve"> von </w:t>
    </w:r>
    <w:r>
      <w:rPr>
        <w:rFonts w:ascii="Arial" w:cs="Arial" w:eastAsia="Arial" w:hAnsi="Arial"/>
        <w:color w:val="5A6A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9" w:sz="4" w:space="6"/>
      </w:pBdr>
      <w:spacing w:after="120"/>
      <w:jc w:val="right"/>
    </w:pPr>
    <w:r>
      <w:rPr>
        <w:rFonts w:ascii="Arial" w:cs="Arial" w:eastAsia="Arial" w:hAnsi="Arial"/>
        <w:color w:val="5A6A73"/>
        <w:sz w:val="16"/>
        <w:szCs w:val="16"/>
      </w:rPr>
      <w:t xml:space="preserve">SK-001 · Einspeiseanlagen aus epilot nach SAP · Entwurf 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color w:val="0E5A6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SK-001 — Einspeiseanlagen aus epilot nach SAP</dc:title>
  <dc:creator>Cluster Digitalisierung, Data &amp; AI</dc:creator>
  <dc:description>Schnittstellenkonzept und Entscheidungsvorlage</dc:description>
  <cp:lastModifiedBy>Un-named</cp:lastModifiedBy>
  <cp:revision>1</cp:revision>
  <dcterms:created xsi:type="dcterms:W3CDTF">2026-09-07T08:34:15.206Z</dcterms:created>
  <dcterms:modified xsi:type="dcterms:W3CDTF">2026-09-07T08:34:15.206Z</dcterms:modified>
</cp:coreProperties>
</file>

<file path=docProps/custom.xml><?xml version="1.0" encoding="utf-8"?>
<Properties xmlns="http://schemas.openxmlformats.org/officeDocument/2006/custom-properties" xmlns:vt="http://schemas.openxmlformats.org/officeDocument/2006/docPropsVTypes"/>
</file>