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E5A69"/>
          <w:spacing w:val="40"/>
          <w:sz w:val="16"/>
          <w:szCs w:val="16"/>
        </w:rPr>
        <w:t xml:space="preserve">MAPPING-SITZUNG EINSPEISER · FREITAG, 11.09.2026</w:t>
      </w:r>
    </w:p>
    <w:p>
      <w:pPr>
        <w:spacing w:after="80"/>
      </w:pPr>
      <w:r>
        <w:rPr>
          <w:rFonts w:ascii="Arial" w:cs="Arial" w:eastAsia="Arial" w:hAnsi="Arial"/>
          <w:b/>
          <w:bCs/>
          <w:color w:val="1A1A1A"/>
          <w:sz w:val="34"/>
          <w:szCs w:val="34"/>
        </w:rPr>
        <w:t xml:space="preserve">Fünf Entscheidungen vor der Feldliste</w:t>
      </w:r>
    </w:p>
    <w:p>
      <w:pPr>
        <w:pBdr>
          <w:bottom w:val="single" w:color="0E5A69" w:sz="8" w:space="8"/>
        </w:pBdr>
        <w:spacing w:after="160"/>
      </w:pPr>
    </w:p>
    <w:p>
      <w:pPr>
        <w:spacing w:after="100" w:line="250"/>
      </w:pPr>
      <w:r>
        <w:rPr>
          <w:rFonts w:ascii="Arial" w:cs="Arial" w:eastAsia="Arial" w:hAnsi="Arial"/>
          <w:color w:val="1A1A1A"/>
          <w:sz w:val="19"/>
          <w:szCs w:val="19"/>
        </w:rPr>
        <w:t xml:space="preserve">Worum es geht. </w:t>
      </w:r>
      <w:r>
        <w:rPr>
          <w:rFonts w:ascii="Arial" w:cs="Arial" w:eastAsia="Arial" w:hAnsi="Arial"/>
          <w:color w:val="1A1A1A"/>
          <w:sz w:val="19"/>
          <w:szCs w:val="19"/>
        </w:rPr>
        <w:t xml:space="preserve">Billing hat die Felder des heutigen Lovion-Exports auf epilot-Attribute zugeordnet — 16 Zeilen als Minimalset für den Go-Live. Bevor wir die Liste Feld für Feld durchgehen, sollten fünf Punkte entschieden sein: Sie bestimmen Aufwand und Termin, die Feldliste tut das nicht.</w:t>
      </w:r>
    </w:p>
    <w:p>
      <w:pPr>
        <w:spacing w:after="100" w:line="250"/>
      </w:pPr>
      <w:r>
        <w:rPr>
          <w:rFonts w:ascii="Arial" w:cs="Arial" w:eastAsia="Arial" w:hAnsi="Arial"/>
          <w:b/>
          <w:bCs/>
          <w:i/>
          <w:iCs/>
          <w:color w:val="5A6A73"/>
          <w:sz w:val="19"/>
          <w:szCs w:val="19"/>
        </w:rPr>
        <w:t xml:space="preserve">Die Reihenfolge ist Absicht. </w:t>
      </w:r>
      <w:r>
        <w:rPr>
          <w:rFonts w:ascii="Arial" w:cs="Arial" w:eastAsia="Arial" w:hAnsi="Arial"/>
          <w:i/>
          <w:iCs/>
          <w:color w:val="5A6A73"/>
          <w:sz w:val="19"/>
          <w:szCs w:val="19"/>
        </w:rPr>
        <w:t xml:space="preserve">Punkt 1 und 2 kosten Geld oder Zeit, wenn sie falsch entschieden werden. Wenn die Sitzung bei Feld 1 der Liste beginnt, kommen wir dort nie an.</w:t>
      </w:r>
    </w:p>
    <w:p>
      <w:pPr>
        <w:spacing w:after="80"/>
      </w:pPr>
    </w:p>
    <w:tbl>
      <w:tblPr>
        <w:tblW w:type="dxa" w:w="9070"/>
        <w:tblBorders>
          <w:top w:val="single" w:color="C9D3D9" w:sz="4"/>
          <w:left w:val="none" w:color="FFFFFF" w:sz="0"/>
          <w:bottom w:val="single" w:color="C9D3D9" w:sz="4"/>
          <w:right w:val="none" w:color="FFFFFF" w:sz="0"/>
          <w:insideH w:val="single" w:color="C9D3D9" w:sz="2"/>
          <w:insideV w:val="none" w:color="FFFFFF" w:sz="0"/>
        </w:tblBorders>
      </w:tblPr>
      <w:tblGrid>
        <w:gridCol w:w="500"/>
        <w:gridCol w:w="2900"/>
        <w:gridCol w:w="5670"/>
      </w:tblGrid>
      <w:tr>
        <w:trPr>
          <w:tblHeader/>
        </w:trPr>
        <w:tc>
          <w:tcPr>
            <w:tcW w:type="dxa" w:w="500"/>
            <w:shd w:fill="1F3B42" w:color="auto" w:val="clear"/>
            <w:tcMar>
              <w:top w:type="dxa" w:w="60"/>
              <w:left w:type="dxa" w:w="100"/>
              <w:bottom w:type="dxa" w:w="60"/>
              <w:right w:type="dxa" w:w="100"/>
            </w:tcMar>
          </w:tcPr>
          <w:p>
            <w:pPr>
              <w:spacing w:after="0" w:line="240"/>
            </w:pPr>
            <w:r>
              <w:rPr>
                <w:rFonts w:ascii="Arial" w:cs="Arial" w:eastAsia="Arial" w:hAnsi="Arial"/>
                <w:b/>
                <w:bCs/>
                <w:color w:val="FFFFFF"/>
                <w:sz w:val="16"/>
                <w:szCs w:val="16"/>
              </w:rPr>
              <w:t xml:space="preserve">#</w:t>
            </w:r>
          </w:p>
        </w:tc>
        <w:tc>
          <w:tcPr>
            <w:tcW w:type="dxa" w:w="2900"/>
            <w:shd w:fill="1F3B42" w:color="auto" w:val="clear"/>
            <w:tcMar>
              <w:top w:type="dxa" w:w="60"/>
              <w:left w:type="dxa" w:w="100"/>
              <w:bottom w:type="dxa" w:w="60"/>
              <w:right w:type="dxa" w:w="100"/>
            </w:tcMar>
          </w:tcPr>
          <w:p>
            <w:pPr>
              <w:spacing w:after="0" w:line="240"/>
            </w:pPr>
            <w:r>
              <w:rPr>
                <w:rFonts w:ascii="Arial" w:cs="Arial" w:eastAsia="Arial" w:hAnsi="Arial"/>
                <w:b/>
                <w:bCs/>
                <w:color w:val="FFFFFF"/>
                <w:sz w:val="16"/>
                <w:szCs w:val="16"/>
              </w:rPr>
              <w:t xml:space="preserve">Entscheidung</w:t>
            </w:r>
          </w:p>
        </w:tc>
        <w:tc>
          <w:tcPr>
            <w:tcW w:type="dxa" w:w="5670"/>
            <w:shd w:fill="1F3B42" w:color="auto" w:val="clear"/>
            <w:tcMar>
              <w:top w:type="dxa" w:w="60"/>
              <w:left w:type="dxa" w:w="100"/>
              <w:bottom w:type="dxa" w:w="60"/>
              <w:right w:type="dxa" w:w="100"/>
            </w:tcMar>
          </w:tcPr>
          <w:p>
            <w:pPr>
              <w:spacing w:after="0" w:line="240"/>
            </w:pPr>
            <w:r>
              <w:rPr>
                <w:rFonts w:ascii="Arial" w:cs="Arial" w:eastAsia="Arial" w:hAnsi="Arial"/>
                <w:b/>
                <w:bCs/>
                <w:color w:val="FFFFFF"/>
                <w:sz w:val="16"/>
                <w:szCs w:val="16"/>
              </w:rPr>
              <w:t xml:space="preserve">Warum sie zuerst kommt</w:t>
            </w:r>
          </w:p>
        </w:tc>
      </w:tr>
      <w:tr>
        <w:tc>
          <w:tcPr>
            <w:tcW w:type="dxa" w:w="500"/>
            <w:shd w:fill="F8E9E6" w:color="auto" w:val="clear"/>
            <w:tcMar>
              <w:top w:type="dxa" w:w="60"/>
              <w:left w:type="dxa" w:w="100"/>
              <w:bottom w:type="dxa" w:w="60"/>
              <w:right w:type="dxa" w:w="100"/>
            </w:tcMar>
          </w:tcPr>
          <w:p>
            <w:pPr>
              <w:spacing w:after="0" w:line="240"/>
            </w:pPr>
            <w:r>
              <w:rPr>
                <w:rFonts w:ascii="Arial" w:cs="Arial" w:eastAsia="Arial" w:hAnsi="Arial"/>
                <w:b/>
                <w:bCs/>
                <w:color w:val="1A1A1A"/>
                <w:sz w:val="17"/>
                <w:szCs w:val="17"/>
              </w:rPr>
              <w:t xml:space="preserve">1</w:t>
            </w:r>
          </w:p>
        </w:tc>
        <w:tc>
          <w:tcPr>
            <w:tcW w:type="dxa" w:w="2900"/>
            <w:shd w:fill="F8E9E6" w:color="auto" w:val="clear"/>
            <w:tcMar>
              <w:top w:type="dxa" w:w="60"/>
              <w:left w:type="dxa" w:w="100"/>
              <w:bottom w:type="dxa" w:w="60"/>
              <w:right w:type="dxa" w:w="100"/>
            </w:tcMar>
          </w:tcPr>
          <w:p>
            <w:pPr>
              <w:spacing w:after="0" w:line="240"/>
            </w:pPr>
            <w:r>
              <w:rPr>
                <w:rFonts w:ascii="Arial" w:cs="Arial" w:eastAsia="Arial" w:hAnsi="Arial"/>
                <w:b w:val="false"/>
                <w:bCs w:val="false"/>
                <w:color w:val="1A1A1A"/>
                <w:sz w:val="17"/>
                <w:szCs w:val="17"/>
              </w:rPr>
              <w:t xml:space="preserve">Kennung: Opportunity Nummer statt Lovion ID</w:t>
            </w:r>
          </w:p>
        </w:tc>
        <w:tc>
          <w:tcPr>
            <w:tcW w:type="dxa" w:w="5670"/>
            <w:shd w:fill="F8E9E6" w:color="auto" w:val="clear"/>
            <w:tcMar>
              <w:top w:type="dxa" w:w="60"/>
              <w:left w:type="dxa" w:w="100"/>
              <w:bottom w:type="dxa" w:w="60"/>
              <w:right w:type="dxa" w:w="100"/>
            </w:tcMar>
          </w:tcPr>
          <w:p>
            <w:pPr>
              <w:spacing w:after="0" w:line="240"/>
            </w:pPr>
            <w:r>
              <w:rPr>
                <w:rFonts w:ascii="Arial" w:cs="Arial" w:eastAsia="Arial" w:hAnsi="Arial"/>
                <w:b w:val="false"/>
                <w:bCs w:val="false"/>
                <w:color w:val="1A1A1A"/>
                <w:sz w:val="17"/>
                <w:szCs w:val="17"/>
              </w:rPr>
              <w:t xml:space="preserve">Von drei möglichen Wegen der einzige, der die SAP-Seite anfasst — mit eigener Freigabekette. Die bisherige Festlegung „SAP bleibt unangetastet“ fällt damit. Alternative: epilot führt den Lovion-Nummernkreis fort. Offen außerdem: Was wird aus Bestandsanlagen mit hinterlegter Lovion-ID?</w:t>
            </w:r>
          </w:p>
        </w:tc>
      </w:tr>
      <w:tr>
        <w:tc>
          <w:tcPr>
            <w:tcW w:type="dxa" w:w="500"/>
            <w:shd w:fill="F8E9E6" w:color="auto" w:val="clear"/>
            <w:tcMar>
              <w:top w:type="dxa" w:w="60"/>
              <w:left w:type="dxa" w:w="100"/>
              <w:bottom w:type="dxa" w:w="60"/>
              <w:right w:type="dxa" w:w="100"/>
            </w:tcMar>
          </w:tcPr>
          <w:p>
            <w:pPr>
              <w:spacing w:after="0" w:line="240"/>
            </w:pPr>
            <w:r>
              <w:rPr>
                <w:rFonts w:ascii="Arial" w:cs="Arial" w:eastAsia="Arial" w:hAnsi="Arial"/>
                <w:b/>
                <w:bCs/>
                <w:color w:val="1A1A1A"/>
                <w:sz w:val="17"/>
                <w:szCs w:val="17"/>
              </w:rPr>
              <w:t xml:space="preserve">2</w:t>
            </w:r>
          </w:p>
        </w:tc>
        <w:tc>
          <w:tcPr>
            <w:tcW w:type="dxa" w:w="2900"/>
            <w:shd w:fill="F8E9E6" w:color="auto" w:val="clear"/>
            <w:tcMar>
              <w:top w:type="dxa" w:w="60"/>
              <w:left w:type="dxa" w:w="100"/>
              <w:bottom w:type="dxa" w:w="60"/>
              <w:right w:type="dxa" w:w="100"/>
            </w:tcMar>
          </w:tcPr>
          <w:p>
            <w:pPr>
              <w:spacing w:after="0" w:line="240"/>
            </w:pPr>
            <w:r>
              <w:rPr>
                <w:rFonts w:ascii="Arial" w:cs="Arial" w:eastAsia="Arial" w:hAnsi="Arial"/>
                <w:b w:val="false"/>
                <w:bCs w:val="false"/>
                <w:color w:val="1A1A1A"/>
                <w:sz w:val="17"/>
                <w:szCs w:val="17"/>
              </w:rPr>
              <w:t xml:space="preserve">Umgang mit den 14 fehlenden Spalten</w:t>
            </w:r>
          </w:p>
        </w:tc>
        <w:tc>
          <w:tcPr>
            <w:tcW w:type="dxa" w:w="5670"/>
            <w:shd w:fill="F8E9E6" w:color="auto" w:val="clear"/>
            <w:tcMar>
              <w:top w:type="dxa" w:w="60"/>
              <w:left w:type="dxa" w:w="100"/>
              <w:bottom w:type="dxa" w:w="60"/>
              <w:right w:type="dxa" w:w="100"/>
            </w:tcMar>
          </w:tcPr>
          <w:p>
            <w:pPr>
              <w:spacing w:after="0" w:line="240"/>
            </w:pPr>
            <w:r>
              <w:rPr>
                <w:rFonts w:ascii="Arial" w:cs="Arial" w:eastAsia="Arial" w:hAnsi="Arial"/>
                <w:b w:val="false"/>
                <w:bCs w:val="false"/>
                <w:color w:val="1A1A1A"/>
                <w:sz w:val="17"/>
                <w:szCs w:val="17"/>
              </w:rPr>
              <w:t xml:space="preserve">Erwartet SAP sie weiterhin und akzeptiert sie leer, oder muss der Import angepasst werden? Betroffen ist unter anderem „Anlagenart nach §48“, die die EEG-Vergütungsklasse bestimmt — woher nimmt SAP sie sonst?</w:t>
            </w:r>
          </w:p>
        </w:tc>
      </w:tr>
      <w:tr>
        <w:tc>
          <w:tcPr>
            <w:tcW w:type="dxa" w:w="500"/>
            <w:tcMar>
              <w:top w:type="dxa" w:w="60"/>
              <w:left w:type="dxa" w:w="100"/>
              <w:bottom w:type="dxa" w:w="60"/>
              <w:right w:type="dxa" w:w="100"/>
            </w:tcMar>
          </w:tcPr>
          <w:p>
            <w:pPr>
              <w:spacing w:after="0" w:line="240"/>
            </w:pPr>
            <w:r>
              <w:rPr>
                <w:rFonts w:ascii="Arial" w:cs="Arial" w:eastAsia="Arial" w:hAnsi="Arial"/>
                <w:b/>
                <w:bCs/>
                <w:color w:val="1A1A1A"/>
                <w:sz w:val="17"/>
                <w:szCs w:val="17"/>
              </w:rPr>
              <w:t xml:space="preserve">3</w:t>
            </w:r>
          </w:p>
        </w:tc>
        <w:tc>
          <w:tcPr>
            <w:tcW w:type="dxa" w:w="2900"/>
            <w:tcMar>
              <w:top w:type="dxa" w:w="60"/>
              <w:left w:type="dxa" w:w="100"/>
              <w:bottom w:type="dxa" w:w="60"/>
              <w:right w:type="dxa" w:w="100"/>
            </w:tcMar>
          </w:tcPr>
          <w:p>
            <w:pPr>
              <w:spacing w:after="0" w:line="240"/>
            </w:pPr>
            <w:r>
              <w:rPr>
                <w:rFonts w:ascii="Arial" w:cs="Arial" w:eastAsia="Arial" w:hAnsi="Arial"/>
                <w:b w:val="false"/>
                <w:bCs w:val="false"/>
                <w:color w:val="1A1A1A"/>
                <w:sz w:val="17"/>
                <w:szCs w:val="17"/>
              </w:rPr>
              <w:t xml:space="preserve">Erzeugt epilot die Datei selbst?</w:t>
            </w:r>
          </w:p>
        </w:tc>
        <w:tc>
          <w:tcPr>
            <w:tcW w:type="dxa" w:w="5670"/>
            <w:tcMar>
              <w:top w:type="dxa" w:w="60"/>
              <w:left w:type="dxa" w:w="100"/>
              <w:bottom w:type="dxa" w:w="60"/>
              <w:right w:type="dxa" w:w="100"/>
            </w:tcMar>
          </w:tcPr>
          <w:p>
            <w:pPr>
              <w:spacing w:after="0" w:line="240"/>
            </w:pPr>
            <w:r>
              <w:rPr>
                <w:rFonts w:ascii="Arial" w:cs="Arial" w:eastAsia="Arial" w:hAnsi="Arial"/>
                <w:b w:val="false"/>
                <w:bCs w:val="false"/>
                <w:color w:val="1A1A1A"/>
                <w:sz w:val="17"/>
                <w:szCs w:val="17"/>
              </w:rPr>
              <w:t xml:space="preserve">Billing spricht vom „Report“. Wenn epilot die Datei über eine eigene Exportfunktion erzeugt, wird ein separater Export-Lauf womöglich nicht gebraucht. Tragfähig ist das nur, wenn sich Kodierung, Trennzeichen, Zeilenende und Spaltenreihenfolge dort exakt steuern lassen.</w:t>
            </w:r>
          </w:p>
        </w:tc>
      </w:tr>
      <w:tr>
        <w:tc>
          <w:tcPr>
            <w:tcW w:type="dxa" w:w="500"/>
            <w:shd w:fill="F2F5F6" w:color="auto" w:val="clear"/>
            <w:tcMar>
              <w:top w:type="dxa" w:w="60"/>
              <w:left w:type="dxa" w:w="100"/>
              <w:bottom w:type="dxa" w:w="60"/>
              <w:right w:type="dxa" w:w="100"/>
            </w:tcMar>
          </w:tcPr>
          <w:p>
            <w:pPr>
              <w:spacing w:after="0" w:line="240"/>
            </w:pPr>
            <w:r>
              <w:rPr>
                <w:rFonts w:ascii="Arial" w:cs="Arial" w:eastAsia="Arial" w:hAnsi="Arial"/>
                <w:b/>
                <w:bCs/>
                <w:color w:val="1A1A1A"/>
                <w:sz w:val="17"/>
                <w:szCs w:val="17"/>
              </w:rPr>
              <w:t xml:space="preserve">4</w:t>
            </w:r>
          </w:p>
        </w:tc>
        <w:tc>
          <w:tcPr>
            <w:tcW w:type="dxa" w:w="2900"/>
            <w:shd w:fill="F2F5F6" w:color="auto" w:val="clear"/>
            <w:tcMar>
              <w:top w:type="dxa" w:w="60"/>
              <w:left w:type="dxa" w:w="100"/>
              <w:bottom w:type="dxa" w:w="60"/>
              <w:right w:type="dxa" w:w="100"/>
            </w:tcMar>
          </w:tcPr>
          <w:p>
            <w:pPr>
              <w:spacing w:after="0" w:line="240"/>
            </w:pPr>
            <w:r>
              <w:rPr>
                <w:rFonts w:ascii="Arial" w:cs="Arial" w:eastAsia="Arial" w:hAnsi="Arial"/>
                <w:b w:val="false"/>
                <w:bCs w:val="false"/>
                <w:color w:val="1A1A1A"/>
                <w:sz w:val="17"/>
                <w:szCs w:val="17"/>
              </w:rPr>
              <w:t xml:space="preserve">Adressquelle klären</w:t>
            </w:r>
          </w:p>
        </w:tc>
        <w:tc>
          <w:tcPr>
            <w:tcW w:type="dxa" w:w="5670"/>
            <w:shd w:fill="F2F5F6" w:color="auto" w:val="clear"/>
            <w:tcMar>
              <w:top w:type="dxa" w:w="60"/>
              <w:left w:type="dxa" w:w="100"/>
              <w:bottom w:type="dxa" w:w="60"/>
              <w:right w:type="dxa" w:w="100"/>
            </w:tcMar>
          </w:tcPr>
          <w:p>
            <w:pPr>
              <w:spacing w:after="0" w:line="240"/>
            </w:pPr>
            <w:r>
              <w:rPr>
                <w:rFonts w:ascii="Arial" w:cs="Arial" w:eastAsia="Arial" w:hAnsi="Arial"/>
                <w:b w:val="false"/>
                <w:bCs w:val="false"/>
                <w:color w:val="1A1A1A"/>
                <w:sz w:val="17"/>
                <w:szCs w:val="17"/>
              </w:rPr>
              <w:t xml:space="preserve">Die Zielspalten heißen „…_Anschlussobjekt“, die genannte Quelle ist die Adresse des Anlagenbetreibers. Bei Aufdachanlagen dasselbe, bei Freiflächen und vermieteten Objekten nicht — ein Fehler hier fällt im Test nicht auf.</w:t>
            </w:r>
          </w:p>
        </w:tc>
      </w:tr>
      <w:tr>
        <w:tc>
          <w:tcPr>
            <w:tcW w:type="dxa" w:w="500"/>
            <w:tcMar>
              <w:top w:type="dxa" w:w="60"/>
              <w:left w:type="dxa" w:w="100"/>
              <w:bottom w:type="dxa" w:w="60"/>
              <w:right w:type="dxa" w:w="100"/>
            </w:tcMar>
          </w:tcPr>
          <w:p>
            <w:pPr>
              <w:spacing w:after="0" w:line="240"/>
            </w:pPr>
            <w:r>
              <w:rPr>
                <w:rFonts w:ascii="Arial" w:cs="Arial" w:eastAsia="Arial" w:hAnsi="Arial"/>
                <w:b/>
                <w:bCs/>
                <w:color w:val="1A1A1A"/>
                <w:sz w:val="17"/>
                <w:szCs w:val="17"/>
              </w:rPr>
              <w:t xml:space="preserve">5</w:t>
            </w:r>
          </w:p>
        </w:tc>
        <w:tc>
          <w:tcPr>
            <w:tcW w:type="dxa" w:w="2900"/>
            <w:tcMar>
              <w:top w:type="dxa" w:w="60"/>
              <w:left w:type="dxa" w:w="100"/>
              <w:bottom w:type="dxa" w:w="60"/>
              <w:right w:type="dxa" w:w="100"/>
            </w:tcMar>
          </w:tcPr>
          <w:p>
            <w:pPr>
              <w:spacing w:after="0" w:line="240"/>
            </w:pPr>
            <w:r>
              <w:rPr>
                <w:rFonts w:ascii="Arial" w:cs="Arial" w:eastAsia="Arial" w:hAnsi="Arial"/>
                <w:b w:val="false"/>
                <w:bCs w:val="false"/>
                <w:color w:val="1A1A1A"/>
                <w:sz w:val="17"/>
                <w:szCs w:val="17"/>
              </w:rPr>
              <w:t xml:space="preserve">Offene Felder und Wertelisten</w:t>
            </w:r>
          </w:p>
        </w:tc>
        <w:tc>
          <w:tcPr>
            <w:tcW w:type="dxa" w:w="5670"/>
            <w:tcMar>
              <w:top w:type="dxa" w:w="60"/>
              <w:left w:type="dxa" w:w="100"/>
              <w:bottom w:type="dxa" w:w="60"/>
              <w:right w:type="dxa" w:w="100"/>
            </w:tcMar>
          </w:tcPr>
          <w:p>
            <w:pPr>
              <w:spacing w:after="0" w:line="240"/>
            </w:pPr>
            <w:r>
              <w:rPr>
                <w:rFonts w:ascii="Arial" w:cs="Arial" w:eastAsia="Arial" w:hAnsi="Arial"/>
                <w:b w:val="false"/>
                <w:bCs w:val="false"/>
                <w:color w:val="1A1A1A"/>
                <w:sz w:val="17"/>
                <w:szCs w:val="17"/>
              </w:rPr>
              <w:t xml:space="preserve">Quellen für Wechselrichterleistung, Einspeisemanagement und Fernsteuerbarkeit; Wertelisten für Energieart und Art der Einspeisung. Fleißarbeit — deshalb zuletzt.</w:t>
            </w:r>
          </w:p>
        </w:tc>
      </w:tr>
    </w:tbl>
    <w:p>
      <w:pPr>
        <w:spacing w:after="80" w:before="200"/>
      </w:pPr>
      <w:r>
        <w:rPr>
          <w:rFonts w:ascii="Arial" w:cs="Arial" w:eastAsia="Arial" w:hAnsi="Arial"/>
          <w:b/>
          <w:bCs/>
          <w:color w:val="1A1A1A"/>
          <w:sz w:val="22"/>
          <w:szCs w:val="22"/>
        </w:rPr>
        <w:t xml:space="preserve">Zwei Hinweise, die Arbeit sparen</w:t>
      </w:r>
    </w:p>
    <w:p>
      <w:pPr>
        <w:spacing w:after="100" w:line="250"/>
      </w:pPr>
      <w:r>
        <w:rPr>
          <w:rFonts w:ascii="Arial" w:cs="Arial" w:eastAsia="Arial" w:hAnsi="Arial"/>
          <w:b/>
          <w:bCs/>
          <w:color w:val="1A1A1A"/>
          <w:sz w:val="19"/>
          <w:szCs w:val="19"/>
        </w:rPr>
        <w:t xml:space="preserve">Die Adresse liegt strukturiert vor. </w:t>
      </w:r>
      <w:r>
        <w:rPr>
          <w:rFonts w:ascii="Arial" w:cs="Arial" w:eastAsia="Arial" w:hAnsi="Arial"/>
          <w:color w:val="1A1A1A"/>
          <w:sz w:val="19"/>
          <w:szCs w:val="19"/>
        </w:rPr>
        <w:t xml:space="preserve">Die Anmerkung „gibt’s nur als einen Block“ trifft auf die Template-Variablen zu — die sind für E-Mails und Dokumentvorlagen gedacht und rendern Fließtext. Über die Entity API kommen Straße, Hausnummer, PLZ und Ort einzeln. Kein Zerlegen nötig, was bei Hausnummern wie „12a“ oder „12–14“ ohnehin unzuverlässig wäre.</w:t>
      </w:r>
    </w:p>
    <w:p>
      <w:pPr>
        <w:spacing w:after="100" w:line="250"/>
      </w:pPr>
      <w:r>
        <w:rPr>
          <w:rFonts w:ascii="Arial" w:cs="Arial" w:eastAsia="Arial" w:hAnsi="Arial"/>
          <w:b/>
          <w:bCs/>
          <w:color w:val="1A1A1A"/>
          <w:sz w:val="19"/>
          <w:szCs w:val="19"/>
        </w:rPr>
        <w:t xml:space="preserve">„SEE-Nr.“ schließt eine Lücke. </w:t>
      </w:r>
      <w:r>
        <w:rPr>
          <w:rFonts w:ascii="Arial" w:cs="Arial" w:eastAsia="Arial" w:hAnsi="Arial"/>
          <w:color w:val="1A1A1A"/>
          <w:sz w:val="19"/>
          <w:szCs w:val="19"/>
        </w:rPr>
        <w:t xml:space="preserve">Die MaStR-Kennung war im heutigen Lovion-Export nicht enthalten und kommt neu hinzu. Zu klären ist nur, ob SAP die zusätzliche Spalte annimmt.</w:t>
      </w:r>
    </w:p>
    <w:p>
      <w:pPr>
        <w:spacing w:after="80" w:before="200"/>
      </w:pPr>
      <w:r>
        <w:rPr>
          <w:rFonts w:ascii="Arial" w:cs="Arial" w:eastAsia="Arial" w:hAnsi="Arial"/>
          <w:b/>
          <w:bCs/>
          <w:color w:val="1A1A1A"/>
          <w:sz w:val="22"/>
          <w:szCs w:val="22"/>
        </w:rPr>
        <w:t xml:space="preserve">Mitzubringen</w:t>
      </w:r>
    </w:p>
    <w:p>
      <w:pPr>
        <w:spacing w:after="100" w:line="250"/>
      </w:pPr>
      <w:r>
        <w:rPr>
          <w:rFonts w:ascii="Arial" w:cs="Arial" w:eastAsia="Arial" w:hAnsi="Arial"/>
          <w:b/>
          <w:bCs/>
          <w:color w:val="1A1A1A"/>
          <w:sz w:val="19"/>
          <w:szCs w:val="19"/>
        </w:rPr>
        <w:t xml:space="preserve">Eine produktive Original-CSV mit Inhalten. </w:t>
      </w:r>
      <w:r>
        <w:rPr>
          <w:rFonts w:ascii="Arial" w:cs="Arial" w:eastAsia="Arial" w:hAnsi="Arial"/>
          <w:color w:val="1A1A1A"/>
          <w:sz w:val="19"/>
          <w:szCs w:val="19"/>
        </w:rPr>
        <w:t xml:space="preserve">Zehn Minuten damit klären Zeichenkodierung, Trennzeichen und Zeilenende — und damit die Frage, welches Werkzeug die Datei erzeugen kann. Sie ist zugleich der Referenzsatz für die spätere Abnahme. Ohne sie bleibt die Umsetzung an dieser Stelle stehen.</w:t>
      </w:r>
    </w:p>
    <w:p>
      <w:pPr>
        <w:pBdr>
          <w:top w:val="single" w:color="C9D3D9" w:sz="4" w:space="8"/>
        </w:pBdr>
        <w:spacing w:before="220"/>
      </w:pPr>
      <w:r>
        <w:rPr>
          <w:rFonts w:ascii="Arial" w:cs="Arial" w:eastAsia="Arial" w:hAnsi="Arial"/>
          <w:i/>
          <w:iCs/>
          <w:color w:val="5A6A73"/>
          <w:sz w:val="15"/>
          <w:szCs w:val="15"/>
        </w:rPr>
        <w:t xml:space="preserve">Arbeitsgrundlage für die Sitzung: „Mapping-Sitzung_Einspeiser_2026-09-11.xlsx“ — alle 30 Spalten des heutigen Exports mit dem Billing-Vorschlag nebeneinander, zum Ausfüllen in der Runde. Vollständige Auswertung im Repository unter epilot/schnittstellenkonzept/mapping/.</w:t>
      </w:r>
    </w:p>
    <w:sectPr>
      <w:footerReference w:type="default" r:id="rId7"/>
      <w:pgSz w:w="11905" w:h="16837" w:orient="portrait"/>
      <w:pgMar w:top="1020" w:right="1020" w:bottom="85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A73"/>
        <w:sz w:val="14"/>
        <w:szCs w:val="14"/>
      </w:rPr>
      <w:t xml:space="preserve">Cluster Digitalisierung, Data &amp; AI · Stand 09.09.2026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Mapping-Sitzung Einspeiser — Entscheidungsvorlage</dc:title>
  <dc:creator>Cluster Digitalisierung, Data &amp; AI</dc:creator>
  <cp:lastModifiedBy>Un-named</cp:lastModifiedBy>
  <cp:revision>1</cp:revision>
  <dcterms:created xsi:type="dcterms:W3CDTF">2026-09-09T11:41:16.526Z</dcterms:created>
  <dcterms:modified xsi:type="dcterms:W3CDTF">2026-09-09T11:41:16.546Z</dcterms:modified>
</cp:coreProperties>
</file>

<file path=docProps/custom.xml><?xml version="1.0" encoding="utf-8"?>
<Properties xmlns="http://schemas.openxmlformats.org/officeDocument/2006/custom-properties" xmlns:vt="http://schemas.openxmlformats.org/officeDocument/2006/docPropsVTypes"/>
</file>