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media/rId20.png" ContentType="image/png"/>
  <Override PartName="/word/media/rId23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supplementary-materials"/>
    <w:p>
      <w:pPr>
        <w:pStyle w:val="Heading1"/>
      </w:pPr>
      <w:r>
        <w:t xml:space="preserve">Supplementary materials</w:t>
      </w:r>
    </w:p>
    <w:p>
      <w:pPr>
        <w:pStyle w:val="FirstParagraph"/>
      </w:pPr>
      <w:r>
        <w:t xml:space="preserve">This file contains the supplementary materials for the article entitled</w:t>
      </w:r>
      <w:r>
        <w:t xml:space="preserve"> </w:t>
      </w:r>
      <w:r>
        <w:t xml:space="preserve">“Unpacking differential item functioning in executive functioning performance using computational modeling”</w:t>
      </w:r>
      <w:r>
        <w:t xml:space="preserve">.</w:t>
      </w:r>
      <w:r>
        <w:t xml:space="preserve"> </w:t>
      </w:r>
      <w:r>
        <w:t xml:space="preserve">The supplemental materials include supporting information relating to more detailed descriptive statistics, model convergence and fit, and details on confounders.</w:t>
      </w:r>
    </w:p>
    <w:bookmarkStart w:id="29" w:name="X8392d2299455e82e1459f388c35a289b1ab3363"/>
    <w:p>
      <w:pPr>
        <w:pStyle w:val="Heading2"/>
      </w:pPr>
      <w:r>
        <w:t xml:space="preserve">Section 1 - Psychometric properties of cognitive tasks</w:t>
      </w:r>
    </w:p>
    <w:bookmarkStart w:id="26" w:name="performance-distributions"/>
    <w:p>
      <w:pPr>
        <w:pStyle w:val="Heading3"/>
      </w:pPr>
      <w:r>
        <w:t xml:space="preserve">1.1 Performance distributions</w:t>
      </w:r>
    </w:p>
    <w:p>
      <w:pPr>
        <w:pStyle w:val="FirstParagraph"/>
      </w:pPr>
      <w:r>
        <w:t xml:space="preserve">Figure S1 and S2 show the distributions of mean response times and mean error rate for each cognitive task.</w:t>
      </w:r>
    </w:p>
    <w:p>
      <w:pPr>
        <w:pStyle w:val="CaptionedFigure"/>
      </w:pPr>
      <w:r>
        <w:drawing>
          <wp:inline>
            <wp:extent cx="5495559" cy="4121669"/>
            <wp:effectExtent b="0" l="0" r="0" t="0"/>
            <wp:docPr descr="Figure S4. Distributions of response times for all tasks." title="" id="21" name="Picture"/>
            <a:graphic>
              <a:graphicData uri="http://schemas.openxmlformats.org/drawingml/2006/picture">
                <pic:pic>
                  <pic:nvPicPr>
                    <pic:cNvPr descr="supplement_files/figure-docx/FigureS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559" cy="4121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S4.</w:t>
      </w:r>
      <w:r>
        <w:t xml:space="preserve"> </w:t>
      </w:r>
      <w:r>
        <w:t xml:space="preserve">Distributions of response times for all tasks.</w:t>
      </w:r>
    </w:p>
    <w:p>
      <w:pPr>
        <w:pStyle w:val="CaptionedFigure"/>
      </w:pPr>
      <w:r>
        <w:drawing>
          <wp:inline>
            <wp:extent cx="5495559" cy="4121669"/>
            <wp:effectExtent b="0" l="0" r="0" t="0"/>
            <wp:docPr descr="Figure S5. Distributions of error rates for all tasks." title="" id="24" name="Picture"/>
            <a:graphic>
              <a:graphicData uri="http://schemas.openxmlformats.org/drawingml/2006/picture">
                <pic:pic>
                  <pic:nvPicPr>
                    <pic:cNvPr descr="supplement_files/figure-docx/FigureS2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559" cy="4121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S5.</w:t>
      </w:r>
      <w:r>
        <w:t xml:space="preserve"> </w:t>
      </w:r>
      <w:r>
        <w:t xml:space="preserve">Distributions of error rates for all tasks.</w:t>
      </w:r>
    </w:p>
    <w:bookmarkEnd w:id="26"/>
    <w:bookmarkStart w:id="27" w:name="condition-effects"/>
    <w:p>
      <w:pPr>
        <w:pStyle w:val="Heading3"/>
      </w:pPr>
      <w:r>
        <w:t xml:space="preserve">1.2 Condition effects</w:t>
      </w:r>
    </w:p>
    <w:p>
      <w:pPr>
        <w:pStyle w:val="FirstParagraph"/>
      </w:pPr>
      <w:r>
        <w:t xml:space="preserve">Table S1 presents tests of condition effects for response times for the five cognitive tasks.</w:t>
      </w:r>
      <w:r>
        <w:t xml:space="preserve"> </w:t>
      </w:r>
      <w:r>
        <w:t xml:space="preserve">Specifically, we tested whether incongruent/switch trials led to significantly slower average correct responses relative to congruent/repeat trials.</w:t>
      </w:r>
      <w:r>
        <w:t xml:space="preserve"> </w:t>
      </w:r>
      <w:r>
        <w:t xml:space="preserve">The manipulation checks were based on mean log-transformed response times using paired-sample</w:t>
      </w:r>
      <w:r>
        <w:t xml:space="preserve"> </w:t>
      </w:r>
      <w:r>
        <w:rPr>
          <w:i/>
          <w:iCs/>
        </w:rPr>
        <w:t xml:space="preserve">t</w:t>
      </w:r>
      <w:r>
        <w:t xml:space="preserve">-tests.</w:t>
      </w:r>
      <w:r>
        <w:t xml:space="preserve"> </w:t>
      </w:r>
      <w:r>
        <w:t xml:space="preserve">For each task, we tested whether there was a significant difference in mean log-transformed response time between the congruent (repeat) condition and the incongruent (switch) condition.</w:t>
      </w:r>
      <w:r>
        <w:t xml:space="preserve"> </w:t>
      </w:r>
      <w:r>
        <w:t xml:space="preserve">All tasks showed a significant difference in the expected direction, with participants on average being faster on the congruent (repeat) condition compared to the incongruent (switch) condition (all</w:t>
      </w:r>
      <w:r>
        <w:t xml:space="preserve"> </w:t>
      </w:r>
      <w:r>
        <w:rPr>
          <w:i/>
          <w:iCs/>
        </w:rPr>
        <w:t xml:space="preserve">p</w:t>
      </w:r>
      <w:r>
        <w:t xml:space="preserve">s &lt; .001).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83"/>
        <w:gridCol w:w="1266"/>
        <w:gridCol w:w="961"/>
        <w:gridCol w:w="1028"/>
      </w:tblGrid>
      <w:tr>
        <w:trPr>
          <w:trHeight w:val="617" w:hRule="auto"/>
          <w:tblHeader/>
        </w:trPr>
        header1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Table S1.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Log-transformed response time differences across conditions for each task.</w:t>
            </w:r>
          </w:p>
        </w:tc>
      </w:tr>
      <w:tr>
        <w:trPr>
          <w:trHeight w:val="571" w:hRule="auto"/>
          <w:tblHeader/>
        </w:trPr>
        header2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Task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Flanker task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55.61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Simon task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61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Color-shape task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57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Global-local task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614" w:hRule="auto"/>
        </w:trPr>
        body5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Animacy-size task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39.76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</w:tbl>
    <w:bookmarkEnd w:id="27"/>
    <w:bookmarkStart w:id="28" w:name="split-half-reliability"/>
    <w:p>
      <w:pPr>
        <w:pStyle w:val="Heading3"/>
      </w:pPr>
      <w:r>
        <w:t xml:space="preserve">1.3 Split-half reliability</w:t>
      </w:r>
    </w:p>
    <w:p>
      <w:pPr>
        <w:pStyle w:val="FirstParagraph"/>
      </w:pPr>
      <w:r>
        <w:t xml:space="preserve">For each cognitive task, we calculated split-half reliabilities using the</w:t>
      </w:r>
      <w:r>
        <w:t xml:space="preserve"> </w:t>
      </w:r>
      <w:r>
        <w:rPr>
          <w:rStyle w:val="VerbatimChar"/>
        </w:rPr>
        <w:t xml:space="preserve">splithalf</w:t>
      </w:r>
      <w:r>
        <w:t xml:space="preserve"> </w:t>
      </w:r>
      <w:r>
        <w:t xml:space="preserve">package</w:t>
      </w:r>
      <w:r>
        <w:t xml:space="preserve"> </w:t>
      </w:r>
      <w:r>
        <w:t xml:space="preserve">(Parsons, 2021)</w:t>
      </w:r>
      <w:r>
        <w:t xml:space="preserve">.</w:t>
      </w:r>
      <w:r>
        <w:t xml:space="preserve"> </w:t>
      </w:r>
      <w:r>
        <w:t xml:space="preserve">We calculated split-half reliabilities for mean response times and error rates, separately for each condition (see Table S1).</w:t>
      </w:r>
      <w:r>
        <w:t xml:space="preserve"> </w:t>
      </w:r>
      <w:r>
        <w:t xml:space="preserve">The split-half reliability of mean response times was high across all tasks and conditions.</w:t>
      </w:r>
      <w:r>
        <w:t xml:space="preserve"> </w:t>
      </w:r>
      <w:r>
        <w:t xml:space="preserve">For error rates, the reliability estimates were generally lower, which is likely due to ceiling effects (see also Figure S5).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83"/>
        <w:gridCol w:w="2209"/>
        <w:gridCol w:w="2282"/>
        <w:gridCol w:w="411"/>
        <w:gridCol w:w="2209"/>
        <w:gridCol w:w="2282"/>
      </w:tblGrid>
      <w:tr>
        <w:trPr>
          <w:trHeight w:val="617" w:hRule="auto"/>
          <w:tblHeader/>
        </w:trPr>
        header1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Table S2.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Split-half reliabilities of mean response times for all cognitive tasks.</w:t>
            </w:r>
          </w:p>
        </w:tc>
      </w:tr>
      <w:tr>
        <w:trPr>
          <w:trHeight w:val="617" w:hRule="auto"/>
          <w:tblHeader/>
        </w:trPr>
        header2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Split-half reliability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Spearman-Brown corrected</w:t>
            </w:r>
          </w:p>
        </w:tc>
      </w:tr>
      <w:tr>
        <w:trPr>
          <w:trHeight w:val="617" w:hRule="auto"/>
          <w:tblHeader/>
        </w:trPr>
        header3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Congruent/Repeat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Incongruent/Switch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Congruent/Repeat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Incongruent/Switch</w:t>
            </w:r>
          </w:p>
        </w:tc>
      </w:tr>
      <w:tr>
        <w:trPr>
          <w:trHeight w:val="613" w:hRule="auto"/>
        </w:trPr>
        body1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Flanker task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 [0.85, 0.93]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 [0.86, 0.92]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 [0.92, 0.96]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 [0.92, 0.96]</w:t>
            </w:r>
          </w:p>
        </w:tc>
      </w:tr>
      <w:tr>
        <w:trPr>
          <w:trHeight w:val="61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Simon task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 [0.85, 0.91]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 [0.82, 0.92]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 [0.92, 0.95]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 [0.90, 0.96]</w:t>
            </w:r>
          </w:p>
        </w:tc>
      </w:tr>
      <w:tr>
        <w:trPr>
          <w:trHeight w:val="61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Color-shape task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 [0.80, 0.84]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 [0.83, 0.87]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 [0.89, 0.91]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 [0.91, 0.93]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Animacy-size task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 [0.81, 0.85]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 [0.85, 0.88]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 [0.90, 0.92]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 [0.92, 0.94]</w:t>
            </w:r>
          </w:p>
        </w:tc>
      </w:tr>
      <w:tr>
        <w:trPr>
          <w:trHeight w:val="613" w:hRule="auto"/>
        </w:trPr>
        body5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Global-local task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 [0.81, 0.87]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 [0.79, 0.86]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 [0.90, 0.93]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 [0.88, 0.93]</w:t>
            </w:r>
          </w:p>
        </w:tc>
      </w:tr>
    </w:tbl>
    <w:p>
      <w:r>
        <w:br w:type="page"/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83"/>
        <w:gridCol w:w="2209"/>
        <w:gridCol w:w="2282"/>
        <w:gridCol w:w="411"/>
        <w:gridCol w:w="2209"/>
        <w:gridCol w:w="2282"/>
      </w:tblGrid>
      <w:tr>
        <w:trPr>
          <w:trHeight w:val="617" w:hRule="auto"/>
          <w:tblHeader/>
        </w:trPr>
        header1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Table S3.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Split-half reliabilities of error rates for all cognitive tasks.</w:t>
            </w:r>
          </w:p>
        </w:tc>
      </w:tr>
      <w:tr>
        <w:trPr>
          <w:trHeight w:val="617" w:hRule="auto"/>
          <w:tblHeader/>
        </w:trPr>
        header2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Split-half reliability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Spearman-Brown corrected</w:t>
            </w:r>
          </w:p>
        </w:tc>
      </w:tr>
      <w:tr>
        <w:trPr>
          <w:trHeight w:val="617" w:hRule="auto"/>
          <w:tblHeader/>
        </w:trPr>
        header3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Congruent/Repeat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Incongruent/Switch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Congruent/Repeat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Incongruent/Switch</w:t>
            </w:r>
          </w:p>
        </w:tc>
      </w:tr>
      <w:tr>
        <w:trPr>
          <w:trHeight w:val="613" w:hRule="auto"/>
        </w:trPr>
        body1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Flanker task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 [0.46, 0.70]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 [0.61, 0.70]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 [0.63, 0.82]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 [0.76, 0.82]</w:t>
            </w:r>
          </w:p>
        </w:tc>
      </w:tr>
      <w:tr>
        <w:trPr>
          <w:trHeight w:val="61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Simon task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 [0.29, 0.41]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 [0.42, 0.51]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 [0.45, 0.58]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 [0.59, 0.67]</w:t>
            </w:r>
          </w:p>
        </w:tc>
      </w:tr>
      <w:tr>
        <w:trPr>
          <w:trHeight w:val="61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Color-shape task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 [0.71, 0.77]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 [0.41, 0.50]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 [0.83, 0.87]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 [0.58, 0.67]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Animacy-size task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 [0.63, 0.72]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 [0.55, 0.63]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 [0.77, 0.83]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 [0.71, 0.77]</w:t>
            </w:r>
          </w:p>
        </w:tc>
      </w:tr>
      <w:tr>
        <w:trPr>
          <w:trHeight w:val="613" w:hRule="auto"/>
        </w:trPr>
        body5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Global-local task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 [0.63, 0.71]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 [0.52, 0.61]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 [0.77, 0.83]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 [0.69, 0.76]</w:t>
            </w:r>
          </w:p>
        </w:tc>
      </w:tr>
    </w:tbl>
    <w:bookmarkEnd w:id="28"/>
    <w:bookmarkEnd w:id="29"/>
    <w:bookmarkStart w:id="47" w:name="section-2---ddm-convergence-and-fit"/>
    <w:p>
      <w:pPr>
        <w:pStyle w:val="Heading2"/>
      </w:pPr>
      <w:r>
        <w:t xml:space="preserve">Section 2 - DDM convergence and fit</w:t>
      </w:r>
    </w:p>
    <w:bookmarkStart w:id="45" w:name="model-convergence"/>
    <w:p>
      <w:pPr>
        <w:pStyle w:val="Heading3"/>
      </w:pPr>
      <w:r>
        <w:t xml:space="preserve">2.1 Model convergence</w:t>
      </w:r>
    </w:p>
    <w:p>
      <w:pPr>
        <w:pStyle w:val="FirstParagraph"/>
      </w:pPr>
      <w:r>
        <w:t xml:space="preserve">Figures S3-S7 present the convergence of MCMC chains of the Hierarchical Drift Diffusion Models for all tasks.</w:t>
      </w:r>
      <w:r>
        <w:t xml:space="preserve"> </w:t>
      </w:r>
      <w:r>
        <w:t xml:space="preserve">The figures should resemble a</w:t>
      </w:r>
      <w:r>
        <w:t xml:space="preserve"> </w:t>
      </w:r>
      <w:r>
        <w:t xml:space="preserve">“fat, hairy caterpillar”</w:t>
      </w:r>
      <w:r>
        <w:t xml:space="preserve">, which was the case for all tasks.</w:t>
      </w:r>
    </w:p>
    <w:p>
      <w:pPr>
        <w:pStyle w:val="CaptionedFigure"/>
      </w:pPr>
      <w:r>
        <w:drawing>
          <wp:inline>
            <wp:extent cx="5495559" cy="2747779"/>
            <wp:effectExtent b="0" l="0" r="0" t="0"/>
            <wp:docPr descr="Figure S3. Trace convergence across three chains for the Flanker Task." title="" id="31" name="Picture"/>
            <a:graphic>
              <a:graphicData uri="http://schemas.openxmlformats.org/drawingml/2006/picture">
                <pic:pic>
                  <pic:nvPicPr>
                    <pic:cNvPr descr="supplement_files/figure-docx/FigureS3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559" cy="2747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S3.</w:t>
      </w:r>
      <w:r>
        <w:t xml:space="preserve"> </w:t>
      </w:r>
      <w:r>
        <w:t xml:space="preserve">Trace convergence across three chains for the Flanker Task.</w:t>
      </w:r>
    </w:p>
    <w:p>
      <w:pPr>
        <w:pStyle w:val="CaptionedFigure"/>
      </w:pPr>
      <w:r>
        <w:drawing>
          <wp:inline>
            <wp:extent cx="5495559" cy="2747779"/>
            <wp:effectExtent b="0" l="0" r="0" t="0"/>
            <wp:docPr descr="Figure S4. Trace convergence across three chains for the Simon Task." title="" id="34" name="Picture"/>
            <a:graphic>
              <a:graphicData uri="http://schemas.openxmlformats.org/drawingml/2006/picture">
                <pic:pic>
                  <pic:nvPicPr>
                    <pic:cNvPr descr="supplement_files/figure-docx/FigureS4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559" cy="2747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S4.</w:t>
      </w:r>
      <w:r>
        <w:t xml:space="preserve"> </w:t>
      </w:r>
      <w:r>
        <w:t xml:space="preserve">Trace convergence across three chains for the Simon Task.</w:t>
      </w:r>
    </w:p>
    <w:p>
      <w:pPr>
        <w:pStyle w:val="CaptionedFigure"/>
      </w:pPr>
      <w:r>
        <w:drawing>
          <wp:inline>
            <wp:extent cx="5495559" cy="2747779"/>
            <wp:effectExtent b="0" l="0" r="0" t="0"/>
            <wp:docPr descr="Figure S5. Trace convergence across three chains for the Color-shape Task." title="" id="37" name="Picture"/>
            <a:graphic>
              <a:graphicData uri="http://schemas.openxmlformats.org/drawingml/2006/picture">
                <pic:pic>
                  <pic:nvPicPr>
                    <pic:cNvPr descr="supplement_files/figure-docx/FigureS5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559" cy="2747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S5.</w:t>
      </w:r>
      <w:r>
        <w:t xml:space="preserve"> </w:t>
      </w:r>
      <w:r>
        <w:t xml:space="preserve">Trace convergence across three chains for the Color-shape Task.</w:t>
      </w:r>
    </w:p>
    <w:p>
      <w:pPr>
        <w:pStyle w:val="CaptionedFigure"/>
      </w:pPr>
      <w:r>
        <w:drawing>
          <wp:inline>
            <wp:extent cx="5495559" cy="2747779"/>
            <wp:effectExtent b="0" l="0" r="0" t="0"/>
            <wp:docPr descr="Figure S6. Trace convergence across three chains for the Global-local Task." title="" id="40" name="Picture"/>
            <a:graphic>
              <a:graphicData uri="http://schemas.openxmlformats.org/drawingml/2006/picture">
                <pic:pic>
                  <pic:nvPicPr>
                    <pic:cNvPr descr="supplement_files/figure-docx/FigureS6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559" cy="2747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S6.</w:t>
      </w:r>
      <w:r>
        <w:t xml:space="preserve"> </w:t>
      </w:r>
      <w:r>
        <w:t xml:space="preserve">Trace convergence across three chains for the Global-local Task.</w:t>
      </w:r>
    </w:p>
    <w:p>
      <w:pPr>
        <w:pStyle w:val="CaptionedFigure"/>
      </w:pPr>
      <w:r>
        <w:drawing>
          <wp:inline>
            <wp:extent cx="5495559" cy="2747779"/>
            <wp:effectExtent b="0" l="0" r="0" t="0"/>
            <wp:docPr descr="Figure S7. Trace convergence across three chains for the Animacy-size Task." title="" id="43" name="Picture"/>
            <a:graphic>
              <a:graphicData uri="http://schemas.openxmlformats.org/drawingml/2006/picture">
                <pic:pic>
                  <pic:nvPicPr>
                    <pic:cNvPr descr="supplement_files/figure-docx/FigureS7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559" cy="2747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S7.</w:t>
      </w:r>
      <w:r>
        <w:t xml:space="preserve"> </w:t>
      </w:r>
      <w:r>
        <w:t xml:space="preserve">Trace convergence across three chains for the Animacy-size Task.</w:t>
      </w:r>
    </w:p>
    <w:bookmarkEnd w:id="45"/>
    <w:bookmarkStart w:id="46" w:name="model-fit"/>
    <w:p>
      <w:pPr>
        <w:pStyle w:val="Heading3"/>
      </w:pPr>
      <w:r>
        <w:t xml:space="preserve">2.2 Model fit</w:t>
      </w:r>
    </w:p>
    <w:p>
      <w:pPr>
        <w:pStyle w:val="FirstParagraph"/>
      </w:pPr>
      <w:r>
        <w:t xml:space="preserve">Table S3 presents simulation-based model fit results.</w:t>
      </w:r>
    </w:p>
    <w:p>
      <w:r>
        <w:br w:type="page"/>
      </w:r>
    </w:p>
    <w:p>
      <w:pPr>
        <w:sectPr/>
      </w:pP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83"/>
        <w:gridCol w:w="1573"/>
        <w:gridCol w:w="2367"/>
        <w:gridCol w:w="2367"/>
        <w:gridCol w:w="2367"/>
        <w:gridCol w:w="1315"/>
        <w:gridCol w:w="961"/>
      </w:tblGrid>
      <w:tr>
        <w:trPr>
          <w:trHeight w:val="574" w:hRule="auto"/>
          <w:tblHeader/>
        </w:trPr>
        header 1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Table S3.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fit assessment.</w:t>
            </w:r>
          </w:p>
        </w:tc>
      </w:tr>
      <w:tr>
        <w:trPr>
          <w:trHeight w:val="614" w:hRule="auto"/>
          <w:tblHeader/>
        </w:trPr>
        header 2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Task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RT - 25th Percentile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RT - 50th Percentile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RT - 75th Percentile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Accuracy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R^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Flanker task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Congruent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1.006</w:t>
            </w:r>
          </w:p>
        </w:tc>
      </w:tr>
      <w:tr>
        <w:trPr>
          <w:trHeight w:val="61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Flanker task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Incongruent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1.006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Simon task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Congruent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1.007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Simon task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Incongruent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1.007</w:t>
            </w:r>
          </w:p>
        </w:tc>
      </w:tr>
      <w:tr>
        <w:trPr>
          <w:trHeight w:val="61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Color-shape task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1.003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Color-shape task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Switch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1.003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Animacy-size task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1.005</w:t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Animacy-size task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Switch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1.005</w:t>
            </w:r>
          </w:p>
        </w:tc>
      </w:tr>
      <w:tr>
        <w:trPr>
          <w:trHeight w:val="61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Global-local task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Repeat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1.001</w:t>
            </w:r>
          </w:p>
        </w:tc>
      </w:tr>
      <w:tr>
        <w:trPr>
          <w:trHeight w:val="574" w:hRule="auto"/>
        </w:trPr>
        body10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Global-local task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Switch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1.001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6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Note: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Simulation-based model fit assessment compared observed and predicted data using 100 simulated trials (accuracy, 25th, 50th, 75th percentile). In addition, we calculated R^ values, which should be below 1.1 to indicate adequate chain convergence.</w:t>
            </w:r>
          </w:p>
        </w:tc>
      </w:tr>
      <w:tr>
        <w:trPr>
          <w:trHeight w:val="360" w:hRule="auto"/>
        </w:trPr>
        footer 2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</w:tbl>
    <w:p>
      <w:pPr>
        <w:sectPr>
          <w:pgSz w:h="11906" w:w="16838" w:orient="landscape"/>
        </w:sectPr>
      </w:pPr>
    </w:p>
    <w:bookmarkEnd w:id="46"/>
    <w:bookmarkEnd w:id="47"/>
    <w:bookmarkEnd w:id="48"/>
    <w:bookmarkStart w:id="52" w:name="references"/>
    <w:p>
      <w:pPr>
        <w:pStyle w:val="Heading1"/>
      </w:pPr>
      <w:r>
        <w:t xml:space="preserve">3. References</w:t>
      </w:r>
    </w:p>
    <w:bookmarkStart w:id="51" w:name="refs"/>
    <w:bookmarkStart w:id="50" w:name="ref-parsons_2021"/>
    <w:p>
      <w:pPr>
        <w:pStyle w:val="Bibliography"/>
      </w:pPr>
      <w:r>
        <w:t xml:space="preserve">Parsons, S. (2021). Splithalf:</w:t>
      </w:r>
      <w:r>
        <w:t xml:space="preserve"> </w:t>
      </w:r>
      <w:r>
        <w:t xml:space="preserve">Robust</w:t>
      </w:r>
      <w:r>
        <w:t xml:space="preserve"> </w:t>
      </w:r>
      <w:r>
        <w:t xml:space="preserve">estimates of split half reliability.</w:t>
      </w:r>
      <w:r>
        <w:t xml:space="preserve"> </w:t>
      </w:r>
      <w:r>
        <w:rPr>
          <w:i/>
          <w:iCs/>
        </w:rPr>
        <w:t xml:space="preserve">Journal of Open Source Software</w:t>
      </w:r>
      <w:r>
        <w:t xml:space="preserve">,</w:t>
      </w:r>
      <w:r>
        <w:t xml:space="preserve"> </w:t>
      </w:r>
      <w:r>
        <w:rPr>
          <w:i/>
          <w:iCs/>
        </w:rPr>
        <w:t xml:space="preserve">6</w:t>
      </w:r>
      <w:r>
        <w:t xml:space="preserve">(60), 3041.</w:t>
      </w:r>
      <w:r>
        <w:t xml:space="preserve"> </w:t>
      </w:r>
      <w:hyperlink r:id="rId49">
        <w:r>
          <w:rPr>
            <w:rStyle w:val="Hyperlink"/>
          </w:rPr>
          <w:t xml:space="preserve">https://doi.org/10.21105/joss.03041</w:t>
        </w:r>
      </w:hyperlink>
    </w:p>
    <w:bookmarkEnd w:id="50"/>
    <w:bookmarkEnd w:id="51"/>
    <w:bookmarkEnd w:id="52"/>
    <w:sectPr w:rsidR="00AB2BAE" w:rsidRPr="00DE4A59" w:rsidSect="00571E56">
      <w:headerReference r:id="rId10" w:type="even"/>
      <w:headerReference r:id="rId9" w:type="default"/>
      <w:headerReference r:id="rId11" w:type="firs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12995791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60F8FFBA" w14:textId="3F03E417" w:rsidR="00927188" w:rsidRDefault="00927188" w:rsidP="00FC055A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1005E80" w14:textId="77777777" w:rsidR="00927188" w:rsidRDefault="00927188" w:rsidP="00C242AA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0181308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040C0CB6" w14:textId="77AA559A" w:rsidR="00927188" w:rsidRPr="006275A3" w:rsidRDefault="00927188" w:rsidP="00FC055A">
        <w:pPr>
          <w:pStyle w:val="Header"/>
          <w:framePr w:wrap="none" w:vAnchor="text" w:hAnchor="margin" w:xAlign="right" w:y="1"/>
          <w:rPr>
            <w:rStyle w:val="PageNumber"/>
          </w:rPr>
        </w:pPr>
        <w:r w:rsidRPr="00E908BF">
          <w:rPr>
            <w:rStyle w:val="PageNumber"/>
          </w:rPr>
          <w:fldChar w:fldCharType="begin"/>
        </w:r>
        <w:r w:rsidRPr="00E908BF">
          <w:rPr>
            <w:rStyle w:val="PageNumber"/>
          </w:rPr>
          <w:instrText xml:space="preserve"> PAGE </w:instrText>
        </w:r>
        <w:r w:rsidRPr="00E908BF">
          <w:rPr>
            <w:rStyle w:val="PageNumber"/>
          </w:rPr>
          <w:fldChar w:fldCharType="separate"/>
        </w:r>
        <w:r w:rsidRPr="00E908BF">
          <w:rPr>
            <w:rStyle w:val="PageNumber"/>
          </w:rPr>
          <w:t>2</w:t>
        </w:r>
        <w:r w:rsidRPr="00E908BF">
          <w:rPr>
            <w:rStyle w:val="PageNumber"/>
          </w:rPr>
          <w:fldChar w:fldCharType="end"/>
        </w:r>
      </w:p>
    </w:sdtContent>
  </w:sdt>
  <w:p w14:paraId="6327649E" w14:textId="41167A68" w:rsidR="00927188" w:rsidRPr="006275A3" w:rsidRDefault="00927188" w:rsidP="00A41B42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26468009"/>
      <w:docPartObj>
        <w:docPartGallery w:val="Page Numbers (Top of Page)"/>
        <w:docPartUnique/>
      </w:docPartObj>
    </w:sdtPr>
    <w:sdtEndPr/>
    <w:sdtContent>
      <w:p w14:paraId="2F9B3E07" w14:textId="782B1385" w:rsidR="00571E56" w:rsidRDefault="00571E56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14:paraId="468A27B4" w14:textId="77777777" w:rsidR="00571E56" w:rsidRDefault="00571E5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AFE209C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A9C8D6CA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DAAB524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9DE25862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F12A76F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E9E44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1F095A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DA7C5D4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B7C5DB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06E041BA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D49646C"/>
    <w:multiLevelType w:val="hybridMultilevel"/>
    <w:tmpl w:val="9A843B6A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1CB16293"/>
    <w:multiLevelType w:val="hybridMultilevel"/>
    <w:tmpl w:val="FB9E7948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">
    <w:nsid w:val="1E974EF0"/>
    <w:multiLevelType w:val="hybridMultilevel"/>
    <w:tmpl w:val="66C64032"/>
    <w:lvl w:ilvl="0" w:tplc="08090001">
      <w:start w:val="4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1EEE4521"/>
    <w:multiLevelType w:val="hybridMultilevel"/>
    <w:tmpl w:val="CD3ABF7A"/>
    <w:lvl w:ilvl="0" w:tplc="D03E6A06">
      <w:start w:val="2"/>
      <w:numFmt w:val="bullet"/>
      <w:lvlText w:val="-"/>
      <w:lvlJc w:val="left"/>
      <w:pPr>
        <w:ind w:hanging="360" w:left="720"/>
      </w:pPr>
      <w:rPr>
        <w:rFonts w:ascii="Calibri" w:cs="Calibri" w:eastAsiaTheme="minorHAnsi" w:hAnsi="Calibri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24A04147"/>
    <w:multiLevelType w:val="hybridMultilevel"/>
    <w:tmpl w:val="E54666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2E9A7356"/>
    <w:multiLevelType w:val="hybridMultilevel"/>
    <w:tmpl w:val="550ADFCE"/>
    <w:lvl w:ilvl="0" w:tplc="131EBCB8">
      <w:start w:val="2"/>
      <w:numFmt w:val="bullet"/>
      <w:lvlText w:val="-"/>
      <w:lvlJc w:val="left"/>
      <w:pPr>
        <w:ind w:hanging="360" w:left="720"/>
      </w:pPr>
      <w:rPr>
        <w:rFonts w:ascii="Calibri" w:cs="Calibri" w:eastAsiaTheme="minorHAnsi" w:hAnsi="Calibri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4BB818A8"/>
    <w:multiLevelType w:val="hybridMultilevel"/>
    <w:tmpl w:val="4508C5C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7">
    <w:nsid w:val="5F895057"/>
    <w:multiLevelType w:val="hybridMultilevel"/>
    <w:tmpl w:val="098232E4"/>
    <w:lvl w:ilvl="0" w:tplc="B928E3D6">
      <w:start w:val="41"/>
      <w:numFmt w:val="bullet"/>
      <w:lvlText w:val="-"/>
      <w:lvlJc w:val="left"/>
      <w:pPr>
        <w:ind w:hanging="360" w:left="720"/>
      </w:pPr>
      <w:rPr>
        <w:rFonts w:ascii="Times New Roman" w:cs="Times New Roman" w:eastAsia="Times New Roman" w:hAnsi="Times New Roman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77787B65"/>
    <w:multiLevelType w:val="hybridMultilevel"/>
    <w:tmpl w:val="242651E4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85842113" w:numId="1">
    <w:abstractNumId w:val="16"/>
  </w:num>
  <w:num w16cid:durableId="1360425787" w:numId="2">
    <w:abstractNumId w:val="10"/>
  </w:num>
  <w:num w16cid:durableId="1436246501" w:numId="3">
    <w:abstractNumId w:val="14"/>
  </w:num>
  <w:num w16cid:durableId="670302708" w:numId="4">
    <w:abstractNumId w:val="13"/>
  </w:num>
  <w:num w16cid:durableId="1646809364" w:numId="5">
    <w:abstractNumId w:val="15"/>
  </w:num>
  <w:num w16cid:durableId="1282884847" w:numId="6">
    <w:abstractNumId w:val="11"/>
  </w:num>
  <w:num w16cid:durableId="794643028" w:numId="7">
    <w:abstractNumId w:val="18"/>
  </w:num>
  <w:num w16cid:durableId="446121770" w:numId="8">
    <w:abstractNumId w:val="17"/>
  </w:num>
  <w:num w16cid:durableId="926885728" w:numId="9">
    <w:abstractNumId w:val="12"/>
  </w:num>
  <w:num w16cid:durableId="1040863026" w:numId="10">
    <w:abstractNumId w:val="0"/>
  </w:num>
  <w:num w16cid:durableId="185949724" w:numId="11">
    <w:abstractNumId w:val="1"/>
  </w:num>
  <w:num w16cid:durableId="1050809296" w:numId="12">
    <w:abstractNumId w:val="2"/>
  </w:num>
  <w:num w16cid:durableId="156460958" w:numId="13">
    <w:abstractNumId w:val="3"/>
  </w:num>
  <w:num w16cid:durableId="716246245" w:numId="14">
    <w:abstractNumId w:val="8"/>
  </w:num>
  <w:num w16cid:durableId="87385763" w:numId="15">
    <w:abstractNumId w:val="4"/>
  </w:num>
  <w:num w16cid:durableId="1874999975" w:numId="16">
    <w:abstractNumId w:val="5"/>
  </w:num>
  <w:num w16cid:durableId="1758476899" w:numId="17">
    <w:abstractNumId w:val="6"/>
  </w:num>
  <w:num w16cid:durableId="2072386416" w:numId="18">
    <w:abstractNumId w:val="7"/>
  </w:num>
  <w:num w16cid:durableId="508297783" w:numId="19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spelling="clean"/>
  <w:stylePaneFormatFilter w:allStyles="1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5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CF8"/>
    <w:rsid w:val="0000588D"/>
    <w:rsid w:val="00010E0A"/>
    <w:rsid w:val="00012F28"/>
    <w:rsid w:val="00023544"/>
    <w:rsid w:val="00023D0B"/>
    <w:rsid w:val="000263D0"/>
    <w:rsid w:val="00027FB2"/>
    <w:rsid w:val="00033528"/>
    <w:rsid w:val="000379D5"/>
    <w:rsid w:val="00040E1B"/>
    <w:rsid w:val="00044015"/>
    <w:rsid w:val="00045809"/>
    <w:rsid w:val="00060B38"/>
    <w:rsid w:val="0006764C"/>
    <w:rsid w:val="00070608"/>
    <w:rsid w:val="0007109A"/>
    <w:rsid w:val="00072979"/>
    <w:rsid w:val="00073017"/>
    <w:rsid w:val="00073914"/>
    <w:rsid w:val="00075DFD"/>
    <w:rsid w:val="00076876"/>
    <w:rsid w:val="0008469D"/>
    <w:rsid w:val="00085962"/>
    <w:rsid w:val="00086010"/>
    <w:rsid w:val="00086914"/>
    <w:rsid w:val="00087BA9"/>
    <w:rsid w:val="000902CF"/>
    <w:rsid w:val="00092573"/>
    <w:rsid w:val="000928F6"/>
    <w:rsid w:val="00094F89"/>
    <w:rsid w:val="000A4042"/>
    <w:rsid w:val="000B2448"/>
    <w:rsid w:val="000B63D5"/>
    <w:rsid w:val="000B6B76"/>
    <w:rsid w:val="000B7B07"/>
    <w:rsid w:val="000C0B2A"/>
    <w:rsid w:val="000C3252"/>
    <w:rsid w:val="000C4FC0"/>
    <w:rsid w:val="000C7171"/>
    <w:rsid w:val="000D0F9E"/>
    <w:rsid w:val="000D52F7"/>
    <w:rsid w:val="000E0EDB"/>
    <w:rsid w:val="000E1757"/>
    <w:rsid w:val="000E364A"/>
    <w:rsid w:val="000E4298"/>
    <w:rsid w:val="000F1499"/>
    <w:rsid w:val="000F5780"/>
    <w:rsid w:val="00101455"/>
    <w:rsid w:val="00101506"/>
    <w:rsid w:val="00102129"/>
    <w:rsid w:val="00102D22"/>
    <w:rsid w:val="00103B80"/>
    <w:rsid w:val="00115923"/>
    <w:rsid w:val="00130C3B"/>
    <w:rsid w:val="00131448"/>
    <w:rsid w:val="00133A17"/>
    <w:rsid w:val="001441F8"/>
    <w:rsid w:val="00147B27"/>
    <w:rsid w:val="00150E25"/>
    <w:rsid w:val="001543DA"/>
    <w:rsid w:val="00154BC2"/>
    <w:rsid w:val="00154EE2"/>
    <w:rsid w:val="00157EFB"/>
    <w:rsid w:val="00160556"/>
    <w:rsid w:val="00162719"/>
    <w:rsid w:val="00164CF8"/>
    <w:rsid w:val="001669B8"/>
    <w:rsid w:val="00170AFC"/>
    <w:rsid w:val="00171775"/>
    <w:rsid w:val="00173C41"/>
    <w:rsid w:val="00175071"/>
    <w:rsid w:val="00176F79"/>
    <w:rsid w:val="00185F85"/>
    <w:rsid w:val="0018625C"/>
    <w:rsid w:val="0018638A"/>
    <w:rsid w:val="00186B20"/>
    <w:rsid w:val="0019273D"/>
    <w:rsid w:val="00196326"/>
    <w:rsid w:val="001A4973"/>
    <w:rsid w:val="001A69C6"/>
    <w:rsid w:val="001C0170"/>
    <w:rsid w:val="001C08A6"/>
    <w:rsid w:val="001C0A33"/>
    <w:rsid w:val="001C687E"/>
    <w:rsid w:val="001C68EA"/>
    <w:rsid w:val="001D212D"/>
    <w:rsid w:val="001D2532"/>
    <w:rsid w:val="001D3F69"/>
    <w:rsid w:val="001D453D"/>
    <w:rsid w:val="001D6B0B"/>
    <w:rsid w:val="001D7051"/>
    <w:rsid w:val="001E1046"/>
    <w:rsid w:val="001E1143"/>
    <w:rsid w:val="001F0A5F"/>
    <w:rsid w:val="001F2A05"/>
    <w:rsid w:val="001F34F0"/>
    <w:rsid w:val="001F3D20"/>
    <w:rsid w:val="0020086D"/>
    <w:rsid w:val="0020207B"/>
    <w:rsid w:val="00213FC8"/>
    <w:rsid w:val="002146FC"/>
    <w:rsid w:val="00215FE6"/>
    <w:rsid w:val="00220047"/>
    <w:rsid w:val="002332FF"/>
    <w:rsid w:val="00234950"/>
    <w:rsid w:val="002358C2"/>
    <w:rsid w:val="00242257"/>
    <w:rsid w:val="002438A1"/>
    <w:rsid w:val="00243948"/>
    <w:rsid w:val="0024599B"/>
    <w:rsid w:val="0024703A"/>
    <w:rsid w:val="002478BF"/>
    <w:rsid w:val="002513E1"/>
    <w:rsid w:val="00254817"/>
    <w:rsid w:val="00257165"/>
    <w:rsid w:val="0025753B"/>
    <w:rsid w:val="00257874"/>
    <w:rsid w:val="00260685"/>
    <w:rsid w:val="00262DBF"/>
    <w:rsid w:val="0026333C"/>
    <w:rsid w:val="00271287"/>
    <w:rsid w:val="00272412"/>
    <w:rsid w:val="00273A5B"/>
    <w:rsid w:val="0028166F"/>
    <w:rsid w:val="00285E99"/>
    <w:rsid w:val="00292D3C"/>
    <w:rsid w:val="00294FB3"/>
    <w:rsid w:val="00295E28"/>
    <w:rsid w:val="00296DC6"/>
    <w:rsid w:val="002A4843"/>
    <w:rsid w:val="002A546D"/>
    <w:rsid w:val="002A6201"/>
    <w:rsid w:val="002B17E6"/>
    <w:rsid w:val="002B1938"/>
    <w:rsid w:val="002B4961"/>
    <w:rsid w:val="002B7D3F"/>
    <w:rsid w:val="002C3015"/>
    <w:rsid w:val="002C3490"/>
    <w:rsid w:val="002C3FC2"/>
    <w:rsid w:val="002C48DE"/>
    <w:rsid w:val="002C6D3A"/>
    <w:rsid w:val="002C6E30"/>
    <w:rsid w:val="002C7B34"/>
    <w:rsid w:val="002D0A1B"/>
    <w:rsid w:val="002D4605"/>
    <w:rsid w:val="002D5D1D"/>
    <w:rsid w:val="002E0EE5"/>
    <w:rsid w:val="002E1AB2"/>
    <w:rsid w:val="002E3603"/>
    <w:rsid w:val="002E46E3"/>
    <w:rsid w:val="002E481A"/>
    <w:rsid w:val="002F07B3"/>
    <w:rsid w:val="002F68B5"/>
    <w:rsid w:val="002F705B"/>
    <w:rsid w:val="002F7CE5"/>
    <w:rsid w:val="0031644B"/>
    <w:rsid w:val="00316A0C"/>
    <w:rsid w:val="00316F4B"/>
    <w:rsid w:val="00320783"/>
    <w:rsid w:val="00320904"/>
    <w:rsid w:val="00320FCD"/>
    <w:rsid w:val="00321494"/>
    <w:rsid w:val="003220BC"/>
    <w:rsid w:val="0033047C"/>
    <w:rsid w:val="003315CE"/>
    <w:rsid w:val="00334082"/>
    <w:rsid w:val="003402B5"/>
    <w:rsid w:val="0034209E"/>
    <w:rsid w:val="00345C99"/>
    <w:rsid w:val="00346693"/>
    <w:rsid w:val="00355F62"/>
    <w:rsid w:val="003651CD"/>
    <w:rsid w:val="003700AD"/>
    <w:rsid w:val="003737EF"/>
    <w:rsid w:val="0037685E"/>
    <w:rsid w:val="00382F86"/>
    <w:rsid w:val="00383126"/>
    <w:rsid w:val="00383A08"/>
    <w:rsid w:val="00385A58"/>
    <w:rsid w:val="00386D9C"/>
    <w:rsid w:val="00387DB2"/>
    <w:rsid w:val="00387E3A"/>
    <w:rsid w:val="00390343"/>
    <w:rsid w:val="003915EC"/>
    <w:rsid w:val="00392997"/>
    <w:rsid w:val="00392D21"/>
    <w:rsid w:val="003A0C72"/>
    <w:rsid w:val="003A438E"/>
    <w:rsid w:val="003B7949"/>
    <w:rsid w:val="003C201D"/>
    <w:rsid w:val="003C2597"/>
    <w:rsid w:val="003C40FC"/>
    <w:rsid w:val="003C4F61"/>
    <w:rsid w:val="003C50E3"/>
    <w:rsid w:val="003C5C59"/>
    <w:rsid w:val="003C61FC"/>
    <w:rsid w:val="003D21C4"/>
    <w:rsid w:val="003D2642"/>
    <w:rsid w:val="003D2C03"/>
    <w:rsid w:val="003D679E"/>
    <w:rsid w:val="003D69DD"/>
    <w:rsid w:val="003D751C"/>
    <w:rsid w:val="003E5E38"/>
    <w:rsid w:val="003E6AB4"/>
    <w:rsid w:val="003E7382"/>
    <w:rsid w:val="003F7C25"/>
    <w:rsid w:val="004004B2"/>
    <w:rsid w:val="0040080F"/>
    <w:rsid w:val="00401900"/>
    <w:rsid w:val="00406A0B"/>
    <w:rsid w:val="00407F3E"/>
    <w:rsid w:val="004102AE"/>
    <w:rsid w:val="00412C68"/>
    <w:rsid w:val="00414E69"/>
    <w:rsid w:val="0041695B"/>
    <w:rsid w:val="00426116"/>
    <w:rsid w:val="00430429"/>
    <w:rsid w:val="00434448"/>
    <w:rsid w:val="00434608"/>
    <w:rsid w:val="00435F08"/>
    <w:rsid w:val="0043655A"/>
    <w:rsid w:val="00443B1C"/>
    <w:rsid w:val="004460AE"/>
    <w:rsid w:val="0045020D"/>
    <w:rsid w:val="0045169D"/>
    <w:rsid w:val="00452DA3"/>
    <w:rsid w:val="00453D69"/>
    <w:rsid w:val="00454F2E"/>
    <w:rsid w:val="00457FB8"/>
    <w:rsid w:val="00466E8C"/>
    <w:rsid w:val="004674FA"/>
    <w:rsid w:val="0047465E"/>
    <w:rsid w:val="0047581B"/>
    <w:rsid w:val="00477464"/>
    <w:rsid w:val="004917FE"/>
    <w:rsid w:val="00493D77"/>
    <w:rsid w:val="004A2BD2"/>
    <w:rsid w:val="004A7557"/>
    <w:rsid w:val="004B051A"/>
    <w:rsid w:val="004B1164"/>
    <w:rsid w:val="004B50F8"/>
    <w:rsid w:val="004C067C"/>
    <w:rsid w:val="004C0958"/>
    <w:rsid w:val="004C6564"/>
    <w:rsid w:val="004C6B42"/>
    <w:rsid w:val="004C7CAF"/>
    <w:rsid w:val="004D5BC0"/>
    <w:rsid w:val="004E3DE6"/>
    <w:rsid w:val="004F0406"/>
    <w:rsid w:val="004F079B"/>
    <w:rsid w:val="004F07D8"/>
    <w:rsid w:val="004F0FA2"/>
    <w:rsid w:val="004F1670"/>
    <w:rsid w:val="004F306E"/>
    <w:rsid w:val="004F408F"/>
    <w:rsid w:val="004F40EC"/>
    <w:rsid w:val="004F50A4"/>
    <w:rsid w:val="0050038A"/>
    <w:rsid w:val="00504E17"/>
    <w:rsid w:val="005112A8"/>
    <w:rsid w:val="00512BA5"/>
    <w:rsid w:val="005135ED"/>
    <w:rsid w:val="005164DA"/>
    <w:rsid w:val="00523AC8"/>
    <w:rsid w:val="00523F10"/>
    <w:rsid w:val="005308BE"/>
    <w:rsid w:val="0053455F"/>
    <w:rsid w:val="005359C5"/>
    <w:rsid w:val="00541D59"/>
    <w:rsid w:val="00547D19"/>
    <w:rsid w:val="005500F9"/>
    <w:rsid w:val="00551620"/>
    <w:rsid w:val="0055253A"/>
    <w:rsid w:val="00554187"/>
    <w:rsid w:val="0055550F"/>
    <w:rsid w:val="00567999"/>
    <w:rsid w:val="00567AD6"/>
    <w:rsid w:val="00571E56"/>
    <w:rsid w:val="00572999"/>
    <w:rsid w:val="005744B4"/>
    <w:rsid w:val="00574D64"/>
    <w:rsid w:val="00575FBA"/>
    <w:rsid w:val="0057609B"/>
    <w:rsid w:val="00577861"/>
    <w:rsid w:val="00577A4B"/>
    <w:rsid w:val="00587D5C"/>
    <w:rsid w:val="005900E9"/>
    <w:rsid w:val="0059229B"/>
    <w:rsid w:val="005948C8"/>
    <w:rsid w:val="005973B5"/>
    <w:rsid w:val="005A0B1E"/>
    <w:rsid w:val="005A41CB"/>
    <w:rsid w:val="005A7796"/>
    <w:rsid w:val="005B092C"/>
    <w:rsid w:val="005B4A4A"/>
    <w:rsid w:val="005C367D"/>
    <w:rsid w:val="005C5F26"/>
    <w:rsid w:val="005C711D"/>
    <w:rsid w:val="005D19EB"/>
    <w:rsid w:val="005D6318"/>
    <w:rsid w:val="005D7A09"/>
    <w:rsid w:val="005E10A7"/>
    <w:rsid w:val="005E36AD"/>
    <w:rsid w:val="005F0112"/>
    <w:rsid w:val="005F16D7"/>
    <w:rsid w:val="005F2AFA"/>
    <w:rsid w:val="005F4D7E"/>
    <w:rsid w:val="006046B5"/>
    <w:rsid w:val="006069A7"/>
    <w:rsid w:val="00610B12"/>
    <w:rsid w:val="00611400"/>
    <w:rsid w:val="00611FCA"/>
    <w:rsid w:val="0061402A"/>
    <w:rsid w:val="00626841"/>
    <w:rsid w:val="006275A3"/>
    <w:rsid w:val="006314A4"/>
    <w:rsid w:val="00632C06"/>
    <w:rsid w:val="00636F49"/>
    <w:rsid w:val="00637039"/>
    <w:rsid w:val="0065438A"/>
    <w:rsid w:val="0065679E"/>
    <w:rsid w:val="00656BEC"/>
    <w:rsid w:val="00660E88"/>
    <w:rsid w:val="006720CF"/>
    <w:rsid w:val="00672BC7"/>
    <w:rsid w:val="0068125C"/>
    <w:rsid w:val="006854ED"/>
    <w:rsid w:val="006861CC"/>
    <w:rsid w:val="00695A2C"/>
    <w:rsid w:val="006A0577"/>
    <w:rsid w:val="006A3426"/>
    <w:rsid w:val="006B36AB"/>
    <w:rsid w:val="006B6456"/>
    <w:rsid w:val="006C44C8"/>
    <w:rsid w:val="006D6844"/>
    <w:rsid w:val="006F0793"/>
    <w:rsid w:val="006F52DC"/>
    <w:rsid w:val="006F6C8A"/>
    <w:rsid w:val="006F72E4"/>
    <w:rsid w:val="007006F5"/>
    <w:rsid w:val="00701FDC"/>
    <w:rsid w:val="00704E7F"/>
    <w:rsid w:val="00706457"/>
    <w:rsid w:val="007067C7"/>
    <w:rsid w:val="00707299"/>
    <w:rsid w:val="007104A0"/>
    <w:rsid w:val="0071298A"/>
    <w:rsid w:val="007140F3"/>
    <w:rsid w:val="00714CFA"/>
    <w:rsid w:val="00717C95"/>
    <w:rsid w:val="007222BD"/>
    <w:rsid w:val="00722F8D"/>
    <w:rsid w:val="0072387D"/>
    <w:rsid w:val="00726406"/>
    <w:rsid w:val="007315E9"/>
    <w:rsid w:val="007325F1"/>
    <w:rsid w:val="0073351B"/>
    <w:rsid w:val="00736F7F"/>
    <w:rsid w:val="00740CA0"/>
    <w:rsid w:val="00744362"/>
    <w:rsid w:val="0074736F"/>
    <w:rsid w:val="007537A4"/>
    <w:rsid w:val="00756995"/>
    <w:rsid w:val="007578B3"/>
    <w:rsid w:val="00766C69"/>
    <w:rsid w:val="007723B0"/>
    <w:rsid w:val="0077245E"/>
    <w:rsid w:val="007734CD"/>
    <w:rsid w:val="00774552"/>
    <w:rsid w:val="0077494E"/>
    <w:rsid w:val="0078274A"/>
    <w:rsid w:val="00783FB0"/>
    <w:rsid w:val="0078493C"/>
    <w:rsid w:val="00786492"/>
    <w:rsid w:val="00786E00"/>
    <w:rsid w:val="00792ACC"/>
    <w:rsid w:val="00793578"/>
    <w:rsid w:val="00794B31"/>
    <w:rsid w:val="00797856"/>
    <w:rsid w:val="0079792E"/>
    <w:rsid w:val="007A4892"/>
    <w:rsid w:val="007A630F"/>
    <w:rsid w:val="007C0668"/>
    <w:rsid w:val="007C63B0"/>
    <w:rsid w:val="007C72D1"/>
    <w:rsid w:val="007D0793"/>
    <w:rsid w:val="007D08A6"/>
    <w:rsid w:val="007D2B1D"/>
    <w:rsid w:val="007E0704"/>
    <w:rsid w:val="007E0893"/>
    <w:rsid w:val="007E14F4"/>
    <w:rsid w:val="007E6D86"/>
    <w:rsid w:val="007E6E38"/>
    <w:rsid w:val="008059CE"/>
    <w:rsid w:val="00810F0C"/>
    <w:rsid w:val="0081369A"/>
    <w:rsid w:val="0081548C"/>
    <w:rsid w:val="008159CA"/>
    <w:rsid w:val="00816636"/>
    <w:rsid w:val="00824CE1"/>
    <w:rsid w:val="00826724"/>
    <w:rsid w:val="00830085"/>
    <w:rsid w:val="008300DE"/>
    <w:rsid w:val="008303CF"/>
    <w:rsid w:val="0083092F"/>
    <w:rsid w:val="00840A8D"/>
    <w:rsid w:val="00843E56"/>
    <w:rsid w:val="00844588"/>
    <w:rsid w:val="00844A41"/>
    <w:rsid w:val="0084659C"/>
    <w:rsid w:val="00852139"/>
    <w:rsid w:val="008557D4"/>
    <w:rsid w:val="00865C2A"/>
    <w:rsid w:val="00866B32"/>
    <w:rsid w:val="00866B45"/>
    <w:rsid w:val="00867B2B"/>
    <w:rsid w:val="00872639"/>
    <w:rsid w:val="00873A9C"/>
    <w:rsid w:val="00873FCF"/>
    <w:rsid w:val="00875113"/>
    <w:rsid w:val="0087622A"/>
    <w:rsid w:val="00880743"/>
    <w:rsid w:val="00884D9D"/>
    <w:rsid w:val="008858B0"/>
    <w:rsid w:val="00892A55"/>
    <w:rsid w:val="00893A80"/>
    <w:rsid w:val="00897E0B"/>
    <w:rsid w:val="008A0806"/>
    <w:rsid w:val="008A1CBF"/>
    <w:rsid w:val="008A68DE"/>
    <w:rsid w:val="008A73DD"/>
    <w:rsid w:val="008A7A20"/>
    <w:rsid w:val="008B1B0B"/>
    <w:rsid w:val="008B2626"/>
    <w:rsid w:val="008B74D1"/>
    <w:rsid w:val="008C1E45"/>
    <w:rsid w:val="008C2FA1"/>
    <w:rsid w:val="008C5B12"/>
    <w:rsid w:val="008D4215"/>
    <w:rsid w:val="008D5AEE"/>
    <w:rsid w:val="008D6574"/>
    <w:rsid w:val="008D7104"/>
    <w:rsid w:val="008E1C81"/>
    <w:rsid w:val="008F2117"/>
    <w:rsid w:val="008F345C"/>
    <w:rsid w:val="008F3513"/>
    <w:rsid w:val="008F42D8"/>
    <w:rsid w:val="008F61E5"/>
    <w:rsid w:val="00901630"/>
    <w:rsid w:val="009037C3"/>
    <w:rsid w:val="00903DF3"/>
    <w:rsid w:val="00906556"/>
    <w:rsid w:val="009261DA"/>
    <w:rsid w:val="00927188"/>
    <w:rsid w:val="009271E4"/>
    <w:rsid w:val="009275F5"/>
    <w:rsid w:val="009306A5"/>
    <w:rsid w:val="0093301D"/>
    <w:rsid w:val="00935F81"/>
    <w:rsid w:val="00937E81"/>
    <w:rsid w:val="00943376"/>
    <w:rsid w:val="0094427A"/>
    <w:rsid w:val="00944B9A"/>
    <w:rsid w:val="00953C09"/>
    <w:rsid w:val="0095467E"/>
    <w:rsid w:val="00954B8F"/>
    <w:rsid w:val="009553DA"/>
    <w:rsid w:val="00960FBA"/>
    <w:rsid w:val="00962E5C"/>
    <w:rsid w:val="00964E29"/>
    <w:rsid w:val="0096786B"/>
    <w:rsid w:val="00970792"/>
    <w:rsid w:val="00980A80"/>
    <w:rsid w:val="009823BC"/>
    <w:rsid w:val="00985D53"/>
    <w:rsid w:val="009935A4"/>
    <w:rsid w:val="00996A17"/>
    <w:rsid w:val="00996EBF"/>
    <w:rsid w:val="009977DF"/>
    <w:rsid w:val="009A3E51"/>
    <w:rsid w:val="009A4C71"/>
    <w:rsid w:val="009B1599"/>
    <w:rsid w:val="009B48B7"/>
    <w:rsid w:val="009B5F6A"/>
    <w:rsid w:val="009B64AC"/>
    <w:rsid w:val="009B720A"/>
    <w:rsid w:val="009B7AFB"/>
    <w:rsid w:val="009D14AA"/>
    <w:rsid w:val="009D3DB1"/>
    <w:rsid w:val="009D4995"/>
    <w:rsid w:val="009E018F"/>
    <w:rsid w:val="009E3212"/>
    <w:rsid w:val="009E425B"/>
    <w:rsid w:val="009E4F13"/>
    <w:rsid w:val="009E6C14"/>
    <w:rsid w:val="009E7330"/>
    <w:rsid w:val="009F07D6"/>
    <w:rsid w:val="009F0EA3"/>
    <w:rsid w:val="009F2D6A"/>
    <w:rsid w:val="009F5904"/>
    <w:rsid w:val="009F6C45"/>
    <w:rsid w:val="009F709C"/>
    <w:rsid w:val="00A041B6"/>
    <w:rsid w:val="00A13951"/>
    <w:rsid w:val="00A14C1A"/>
    <w:rsid w:val="00A14C60"/>
    <w:rsid w:val="00A20ACB"/>
    <w:rsid w:val="00A23BA9"/>
    <w:rsid w:val="00A36C42"/>
    <w:rsid w:val="00A40518"/>
    <w:rsid w:val="00A41B42"/>
    <w:rsid w:val="00A46A2F"/>
    <w:rsid w:val="00A4794A"/>
    <w:rsid w:val="00A47B7E"/>
    <w:rsid w:val="00A5142E"/>
    <w:rsid w:val="00A54706"/>
    <w:rsid w:val="00A57B5A"/>
    <w:rsid w:val="00A63BB3"/>
    <w:rsid w:val="00A6644A"/>
    <w:rsid w:val="00A675B1"/>
    <w:rsid w:val="00A71C1B"/>
    <w:rsid w:val="00A7450C"/>
    <w:rsid w:val="00A7512A"/>
    <w:rsid w:val="00A76E6A"/>
    <w:rsid w:val="00A809EF"/>
    <w:rsid w:val="00A80D7B"/>
    <w:rsid w:val="00A856C7"/>
    <w:rsid w:val="00A875F5"/>
    <w:rsid w:val="00A939AE"/>
    <w:rsid w:val="00AA01C6"/>
    <w:rsid w:val="00AA347F"/>
    <w:rsid w:val="00AB223C"/>
    <w:rsid w:val="00AB2BAE"/>
    <w:rsid w:val="00AB3927"/>
    <w:rsid w:val="00AB4692"/>
    <w:rsid w:val="00AC0760"/>
    <w:rsid w:val="00AC0B4A"/>
    <w:rsid w:val="00AC1090"/>
    <w:rsid w:val="00AD26A1"/>
    <w:rsid w:val="00AD2B75"/>
    <w:rsid w:val="00AD2C61"/>
    <w:rsid w:val="00AD2F4B"/>
    <w:rsid w:val="00AD4DEF"/>
    <w:rsid w:val="00AD7B06"/>
    <w:rsid w:val="00AE08AD"/>
    <w:rsid w:val="00AE106E"/>
    <w:rsid w:val="00AE175D"/>
    <w:rsid w:val="00AE7371"/>
    <w:rsid w:val="00AE7AA6"/>
    <w:rsid w:val="00AF4265"/>
    <w:rsid w:val="00AF5F87"/>
    <w:rsid w:val="00AF69CC"/>
    <w:rsid w:val="00B069A9"/>
    <w:rsid w:val="00B10920"/>
    <w:rsid w:val="00B10DD8"/>
    <w:rsid w:val="00B1314A"/>
    <w:rsid w:val="00B1607B"/>
    <w:rsid w:val="00B2394A"/>
    <w:rsid w:val="00B26CCF"/>
    <w:rsid w:val="00B305EC"/>
    <w:rsid w:val="00B46CB8"/>
    <w:rsid w:val="00B53C68"/>
    <w:rsid w:val="00B55043"/>
    <w:rsid w:val="00B62A79"/>
    <w:rsid w:val="00B663B4"/>
    <w:rsid w:val="00B72710"/>
    <w:rsid w:val="00B751B2"/>
    <w:rsid w:val="00B7717C"/>
    <w:rsid w:val="00B77B41"/>
    <w:rsid w:val="00B822CD"/>
    <w:rsid w:val="00B82CF7"/>
    <w:rsid w:val="00B86E91"/>
    <w:rsid w:val="00B938BE"/>
    <w:rsid w:val="00B9438C"/>
    <w:rsid w:val="00B960AA"/>
    <w:rsid w:val="00BA581E"/>
    <w:rsid w:val="00BA7B73"/>
    <w:rsid w:val="00BA7EE5"/>
    <w:rsid w:val="00BB0E4A"/>
    <w:rsid w:val="00BB2AF3"/>
    <w:rsid w:val="00BB3366"/>
    <w:rsid w:val="00BB6694"/>
    <w:rsid w:val="00BC0A7D"/>
    <w:rsid w:val="00BC559D"/>
    <w:rsid w:val="00BD1E5C"/>
    <w:rsid w:val="00BD2EE8"/>
    <w:rsid w:val="00BD3A23"/>
    <w:rsid w:val="00BD3C01"/>
    <w:rsid w:val="00BD53A5"/>
    <w:rsid w:val="00BD6DEC"/>
    <w:rsid w:val="00BE00F3"/>
    <w:rsid w:val="00BE0DCB"/>
    <w:rsid w:val="00BE2DE5"/>
    <w:rsid w:val="00BE2E47"/>
    <w:rsid w:val="00BE36F6"/>
    <w:rsid w:val="00BE387E"/>
    <w:rsid w:val="00BE4486"/>
    <w:rsid w:val="00BE502D"/>
    <w:rsid w:val="00BE53F0"/>
    <w:rsid w:val="00BF3678"/>
    <w:rsid w:val="00BF750C"/>
    <w:rsid w:val="00C03449"/>
    <w:rsid w:val="00C03F14"/>
    <w:rsid w:val="00C05AA5"/>
    <w:rsid w:val="00C10AFB"/>
    <w:rsid w:val="00C111B3"/>
    <w:rsid w:val="00C1135C"/>
    <w:rsid w:val="00C13988"/>
    <w:rsid w:val="00C15FDD"/>
    <w:rsid w:val="00C227BD"/>
    <w:rsid w:val="00C242AA"/>
    <w:rsid w:val="00C33FC4"/>
    <w:rsid w:val="00C35174"/>
    <w:rsid w:val="00C43575"/>
    <w:rsid w:val="00C50B5C"/>
    <w:rsid w:val="00C511E4"/>
    <w:rsid w:val="00C61E15"/>
    <w:rsid w:val="00C627C9"/>
    <w:rsid w:val="00C62B92"/>
    <w:rsid w:val="00C6470B"/>
    <w:rsid w:val="00C647E6"/>
    <w:rsid w:val="00C6588B"/>
    <w:rsid w:val="00C66D90"/>
    <w:rsid w:val="00C75075"/>
    <w:rsid w:val="00C7765E"/>
    <w:rsid w:val="00C827EF"/>
    <w:rsid w:val="00C840FC"/>
    <w:rsid w:val="00C86121"/>
    <w:rsid w:val="00C87211"/>
    <w:rsid w:val="00C92E23"/>
    <w:rsid w:val="00CA0FE8"/>
    <w:rsid w:val="00CA32CE"/>
    <w:rsid w:val="00CA33DC"/>
    <w:rsid w:val="00CB1032"/>
    <w:rsid w:val="00CC0181"/>
    <w:rsid w:val="00CC248A"/>
    <w:rsid w:val="00CC2B0C"/>
    <w:rsid w:val="00CC3638"/>
    <w:rsid w:val="00CD010D"/>
    <w:rsid w:val="00CD27D6"/>
    <w:rsid w:val="00CD3488"/>
    <w:rsid w:val="00CD42DA"/>
    <w:rsid w:val="00CD4CBE"/>
    <w:rsid w:val="00CD5715"/>
    <w:rsid w:val="00CE08F6"/>
    <w:rsid w:val="00CE0EB4"/>
    <w:rsid w:val="00CE48D3"/>
    <w:rsid w:val="00CF0C51"/>
    <w:rsid w:val="00CF6519"/>
    <w:rsid w:val="00CF7AB9"/>
    <w:rsid w:val="00D00360"/>
    <w:rsid w:val="00D00EC0"/>
    <w:rsid w:val="00D03929"/>
    <w:rsid w:val="00D03EA6"/>
    <w:rsid w:val="00D078E3"/>
    <w:rsid w:val="00D10C81"/>
    <w:rsid w:val="00D116FF"/>
    <w:rsid w:val="00D126FB"/>
    <w:rsid w:val="00D128BD"/>
    <w:rsid w:val="00D1593F"/>
    <w:rsid w:val="00D15C80"/>
    <w:rsid w:val="00D205A1"/>
    <w:rsid w:val="00D20A3A"/>
    <w:rsid w:val="00D21811"/>
    <w:rsid w:val="00D22274"/>
    <w:rsid w:val="00D24768"/>
    <w:rsid w:val="00D31B9E"/>
    <w:rsid w:val="00D33A4A"/>
    <w:rsid w:val="00D37191"/>
    <w:rsid w:val="00D4140E"/>
    <w:rsid w:val="00D4365D"/>
    <w:rsid w:val="00D44AA1"/>
    <w:rsid w:val="00D46CBB"/>
    <w:rsid w:val="00D4727F"/>
    <w:rsid w:val="00D47633"/>
    <w:rsid w:val="00D47AB2"/>
    <w:rsid w:val="00D47FE1"/>
    <w:rsid w:val="00D50BC2"/>
    <w:rsid w:val="00D55004"/>
    <w:rsid w:val="00D56367"/>
    <w:rsid w:val="00D6613C"/>
    <w:rsid w:val="00D66A6D"/>
    <w:rsid w:val="00D66D4D"/>
    <w:rsid w:val="00D71388"/>
    <w:rsid w:val="00D73A4F"/>
    <w:rsid w:val="00D82144"/>
    <w:rsid w:val="00D846C6"/>
    <w:rsid w:val="00D84900"/>
    <w:rsid w:val="00D864A1"/>
    <w:rsid w:val="00D92CB3"/>
    <w:rsid w:val="00D93029"/>
    <w:rsid w:val="00D96540"/>
    <w:rsid w:val="00DB2A19"/>
    <w:rsid w:val="00DB72A6"/>
    <w:rsid w:val="00DC4596"/>
    <w:rsid w:val="00DD08C6"/>
    <w:rsid w:val="00DD0D3C"/>
    <w:rsid w:val="00DD25BA"/>
    <w:rsid w:val="00DD26F6"/>
    <w:rsid w:val="00DD3634"/>
    <w:rsid w:val="00DD44D9"/>
    <w:rsid w:val="00DD6FC3"/>
    <w:rsid w:val="00DD7C7D"/>
    <w:rsid w:val="00DE4A59"/>
    <w:rsid w:val="00DE638A"/>
    <w:rsid w:val="00DE668C"/>
    <w:rsid w:val="00DF28D8"/>
    <w:rsid w:val="00DF5A6D"/>
    <w:rsid w:val="00E04807"/>
    <w:rsid w:val="00E05E36"/>
    <w:rsid w:val="00E104B6"/>
    <w:rsid w:val="00E1291F"/>
    <w:rsid w:val="00E15755"/>
    <w:rsid w:val="00E17E32"/>
    <w:rsid w:val="00E21E38"/>
    <w:rsid w:val="00E22A5D"/>
    <w:rsid w:val="00E22AB7"/>
    <w:rsid w:val="00E2541B"/>
    <w:rsid w:val="00E25E6C"/>
    <w:rsid w:val="00E26962"/>
    <w:rsid w:val="00E272F3"/>
    <w:rsid w:val="00E27DCC"/>
    <w:rsid w:val="00E31295"/>
    <w:rsid w:val="00E33DE7"/>
    <w:rsid w:val="00E34773"/>
    <w:rsid w:val="00E3493D"/>
    <w:rsid w:val="00E37E66"/>
    <w:rsid w:val="00E45BCF"/>
    <w:rsid w:val="00E4709E"/>
    <w:rsid w:val="00E4744C"/>
    <w:rsid w:val="00E53849"/>
    <w:rsid w:val="00E5567E"/>
    <w:rsid w:val="00E66BDE"/>
    <w:rsid w:val="00E70C85"/>
    <w:rsid w:val="00E717EB"/>
    <w:rsid w:val="00E82531"/>
    <w:rsid w:val="00E82FC0"/>
    <w:rsid w:val="00E83231"/>
    <w:rsid w:val="00E84ED5"/>
    <w:rsid w:val="00E908BF"/>
    <w:rsid w:val="00E93ACC"/>
    <w:rsid w:val="00E96124"/>
    <w:rsid w:val="00EA0CD2"/>
    <w:rsid w:val="00EA1670"/>
    <w:rsid w:val="00EA176E"/>
    <w:rsid w:val="00EA26DE"/>
    <w:rsid w:val="00EA33B5"/>
    <w:rsid w:val="00EA66AF"/>
    <w:rsid w:val="00EB42AC"/>
    <w:rsid w:val="00EB5E3F"/>
    <w:rsid w:val="00EB648A"/>
    <w:rsid w:val="00EB742B"/>
    <w:rsid w:val="00EC0276"/>
    <w:rsid w:val="00EC1A13"/>
    <w:rsid w:val="00EC568B"/>
    <w:rsid w:val="00EC5A3F"/>
    <w:rsid w:val="00EC65EC"/>
    <w:rsid w:val="00ED014F"/>
    <w:rsid w:val="00ED339E"/>
    <w:rsid w:val="00ED3FE3"/>
    <w:rsid w:val="00ED48DF"/>
    <w:rsid w:val="00EE11DE"/>
    <w:rsid w:val="00EE2063"/>
    <w:rsid w:val="00EE7125"/>
    <w:rsid w:val="00EE73FF"/>
    <w:rsid w:val="00EF28CF"/>
    <w:rsid w:val="00EF5D45"/>
    <w:rsid w:val="00EF7AE4"/>
    <w:rsid w:val="00EF7B0A"/>
    <w:rsid w:val="00F0341E"/>
    <w:rsid w:val="00F03B1E"/>
    <w:rsid w:val="00F040A9"/>
    <w:rsid w:val="00F17233"/>
    <w:rsid w:val="00F172B5"/>
    <w:rsid w:val="00F17B4D"/>
    <w:rsid w:val="00F21740"/>
    <w:rsid w:val="00F225F4"/>
    <w:rsid w:val="00F22EA1"/>
    <w:rsid w:val="00F2314B"/>
    <w:rsid w:val="00F2574C"/>
    <w:rsid w:val="00F3163F"/>
    <w:rsid w:val="00F33DCD"/>
    <w:rsid w:val="00F35006"/>
    <w:rsid w:val="00F3675F"/>
    <w:rsid w:val="00F45667"/>
    <w:rsid w:val="00F45D99"/>
    <w:rsid w:val="00F45ED4"/>
    <w:rsid w:val="00F460FA"/>
    <w:rsid w:val="00F5065B"/>
    <w:rsid w:val="00F5138E"/>
    <w:rsid w:val="00F52881"/>
    <w:rsid w:val="00F52A91"/>
    <w:rsid w:val="00F540D6"/>
    <w:rsid w:val="00F66152"/>
    <w:rsid w:val="00F70B0C"/>
    <w:rsid w:val="00F70E66"/>
    <w:rsid w:val="00F71BC3"/>
    <w:rsid w:val="00F720F8"/>
    <w:rsid w:val="00F72F82"/>
    <w:rsid w:val="00F73FC6"/>
    <w:rsid w:val="00F77097"/>
    <w:rsid w:val="00F80219"/>
    <w:rsid w:val="00F8242D"/>
    <w:rsid w:val="00F8586D"/>
    <w:rsid w:val="00F923BF"/>
    <w:rsid w:val="00F940D1"/>
    <w:rsid w:val="00FA167E"/>
    <w:rsid w:val="00FA1DB3"/>
    <w:rsid w:val="00FA4816"/>
    <w:rsid w:val="00FA65D9"/>
    <w:rsid w:val="00FA7986"/>
    <w:rsid w:val="00FB5AA0"/>
    <w:rsid w:val="00FB7EF8"/>
    <w:rsid w:val="00FC055A"/>
    <w:rsid w:val="00FC09E9"/>
    <w:rsid w:val="00FC0FEB"/>
    <w:rsid w:val="00FC1A03"/>
    <w:rsid w:val="00FC1DB8"/>
    <w:rsid w:val="00FC355C"/>
    <w:rsid w:val="00FD194E"/>
    <w:rsid w:val="00FD1DFB"/>
    <w:rsid w:val="00FD4FC3"/>
    <w:rsid w:val="00FD67A7"/>
    <w:rsid w:val="00FE0336"/>
    <w:rsid w:val="00FE44A0"/>
    <w:rsid w:val="00FE5434"/>
    <w:rsid w:val="00FE7899"/>
    <w:rsid w:val="00FE7CA3"/>
    <w:rsid w:val="00FF0FC3"/>
    <w:rsid w:val="00FF57EA"/>
    <w:rsid w:val="00FF685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40" w:before="240" w:line="360" w:lineRule="auto"/>
        <w:ind w:firstLine="720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13951"/>
    <w:rPr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Normal"/>
    <w:link w:val="Heading1Char"/>
    <w:uiPriority w:val="9"/>
    <w:qFormat/>
    <w:rsid w:val="002B1938"/>
    <w:pPr>
      <w:keepNext/>
      <w:keepLines/>
      <w:ind w:firstLine="0"/>
      <w:outlineLvl w:val="0"/>
    </w:pPr>
    <w:rPr>
      <w:rFonts w:cstheme="majorBidi" w:eastAsiaTheme="majorEastAsia"/>
      <w:b/>
      <w:color w:themeColor="text1" w:val="000000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2B1938"/>
    <w:pPr>
      <w:keepNext/>
      <w:keepLines/>
      <w:ind w:firstLine="0"/>
      <w:outlineLvl w:val="1"/>
    </w:pPr>
    <w:rPr>
      <w:rFonts w:cstheme="majorBidi" w:eastAsiaTheme="majorEastAsia"/>
      <w:b/>
      <w:color w:themeColor="text1" w:val="00000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2B1938"/>
    <w:pPr>
      <w:keepNext/>
      <w:keepLines/>
      <w:ind w:firstLine="0"/>
      <w:outlineLvl w:val="2"/>
    </w:pPr>
    <w:rPr>
      <w:rFonts w:cstheme="majorBidi" w:eastAsiaTheme="majorEastAsia"/>
      <w:b/>
      <w:i/>
      <w:color w:themeColor="text1" w:val="000000"/>
    </w:rPr>
  </w:style>
  <w:style w:styleId="Heading4" w:type="paragraph">
    <w:name w:val="heading 4"/>
    <w:basedOn w:val="Normal"/>
    <w:next w:val="authors"/>
    <w:link w:val="Heading4Char"/>
    <w:uiPriority w:val="9"/>
    <w:semiHidden/>
    <w:unhideWhenUsed/>
    <w:qFormat/>
    <w:rsid w:val="00611FCA"/>
    <w:pPr>
      <w:keepNext/>
      <w:keepLines/>
      <w:spacing w:before="40"/>
      <w:outlineLvl w:val="3"/>
    </w:pPr>
    <w:rPr>
      <w:rFonts w:cstheme="majorBidi" w:eastAsiaTheme="majorEastAsia"/>
      <w:iCs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ListParagraph" w:type="paragraph">
    <w:name w:val="List Paragraph"/>
    <w:basedOn w:val="Normal"/>
    <w:uiPriority w:val="34"/>
    <w:qFormat/>
    <w:rsid w:val="00164CF8"/>
    <w:pPr>
      <w:ind w:left="720"/>
      <w:contextualSpacing/>
    </w:pPr>
  </w:style>
  <w:style w:styleId="BalloonText" w:type="paragraph">
    <w:name w:val="Balloon Text"/>
    <w:basedOn w:val="Normal"/>
    <w:link w:val="BalloonTextChar"/>
    <w:uiPriority w:val="99"/>
    <w:semiHidden/>
    <w:unhideWhenUsed/>
    <w:rsid w:val="0083092F"/>
    <w:rPr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83092F"/>
    <w:rPr>
      <w:rFonts w:ascii="Times New Roman" w:cs="Times New Roman" w:hAnsi="Times New Roman"/>
      <w:sz w:val="18"/>
      <w:szCs w:val="18"/>
    </w:rPr>
  </w:style>
  <w:style w:styleId="CommentReference" w:type="character">
    <w:name w:val="annotation reference"/>
    <w:basedOn w:val="DefaultParagraphFont"/>
    <w:uiPriority w:val="99"/>
    <w:semiHidden/>
    <w:unhideWhenUsed/>
    <w:rsid w:val="0083092F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83092F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83092F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83092F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83092F"/>
    <w:rPr>
      <w:b/>
      <w:bCs/>
      <w:sz w:val="20"/>
      <w:szCs w:val="20"/>
    </w:rPr>
  </w:style>
  <w:style w:styleId="NormalWeb" w:type="paragraph">
    <w:name w:val="Normal (Web)"/>
    <w:basedOn w:val="Normal"/>
    <w:uiPriority w:val="99"/>
    <w:semiHidden/>
    <w:unhideWhenUsed/>
    <w:rsid w:val="004F079B"/>
    <w:pPr>
      <w:spacing w:after="100" w:afterAutospacing="1" w:before="100" w:beforeAutospacing="1"/>
    </w:pPr>
  </w:style>
  <w:style w:styleId="Header" w:type="paragraph">
    <w:name w:val="header"/>
    <w:basedOn w:val="Normal"/>
    <w:link w:val="HeaderChar"/>
    <w:uiPriority w:val="99"/>
    <w:unhideWhenUsed/>
    <w:rsid w:val="00E3493D"/>
    <w:pPr>
      <w:tabs>
        <w:tab w:pos="4680" w:val="center"/>
        <w:tab w:pos="9360" w:val="right"/>
      </w:tabs>
      <w:ind w:firstLine="0"/>
    </w:pPr>
  </w:style>
  <w:style w:customStyle="1" w:styleId="HeaderChar" w:type="character">
    <w:name w:val="Header Char"/>
    <w:basedOn w:val="DefaultParagraphFont"/>
    <w:link w:val="Header"/>
    <w:uiPriority w:val="99"/>
    <w:rsid w:val="00E3493D"/>
    <w:rPr>
      <w:rFonts w:ascii="Times New Roman" w:cs="Times New Roman" w:eastAsia="Times New Roman" w:hAnsi="Times New Roman"/>
    </w:rPr>
  </w:style>
  <w:style w:styleId="Footer" w:type="paragraph">
    <w:name w:val="footer"/>
    <w:basedOn w:val="Normal"/>
    <w:link w:val="FooterChar"/>
    <w:uiPriority w:val="99"/>
    <w:unhideWhenUsed/>
    <w:rsid w:val="00C242AA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uiPriority w:val="99"/>
    <w:rsid w:val="00C242AA"/>
  </w:style>
  <w:style w:styleId="PageNumber" w:type="character">
    <w:name w:val="page number"/>
    <w:basedOn w:val="DefaultParagraphFont"/>
    <w:uiPriority w:val="99"/>
    <w:unhideWhenUsed/>
    <w:rsid w:val="00DE4A59"/>
    <w:rPr>
      <w:rFonts w:ascii="Times New Roman" w:hAnsi="Times New Roman"/>
      <w:sz w:val="24"/>
    </w:rPr>
  </w:style>
  <w:style w:styleId="Hyperlink" w:type="character">
    <w:name w:val="Hyperlink"/>
    <w:basedOn w:val="DefaultParagraphFont"/>
    <w:uiPriority w:val="99"/>
    <w:unhideWhenUsed/>
    <w:rsid w:val="000928F6"/>
    <w:rPr>
      <w:color w:themeColor="hyperlink" w:val="0563C1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rsid w:val="000928F6"/>
    <w:rPr>
      <w:color w:val="605E5C"/>
      <w:shd w:color="auto" w:fill="E1DFDD" w:val="clear"/>
    </w:rPr>
  </w:style>
  <w:style w:styleId="Bibliography" w:type="paragraph">
    <w:name w:val="Bibliography"/>
    <w:basedOn w:val="Normal"/>
    <w:next w:val="Normal"/>
    <w:uiPriority w:val="37"/>
    <w:unhideWhenUsed/>
    <w:rsid w:val="009F6C45"/>
    <w:pPr>
      <w:tabs>
        <w:tab w:pos="380" w:val="left"/>
      </w:tabs>
      <w:ind w:hanging="720" w:left="720"/>
    </w:pPr>
  </w:style>
  <w:style w:styleId="BodyText" w:type="paragraph">
    <w:name w:val="Body Text"/>
    <w:basedOn w:val="Normal"/>
    <w:link w:val="BodyTextChar"/>
    <w:uiPriority w:val="99"/>
    <w:unhideWhenUsed/>
    <w:rsid w:val="005C711D"/>
    <w:pPr>
      <w:spacing w:after="120"/>
    </w:pPr>
    <w:rPr>
      <w:rFonts w:eastAsiaTheme="minorEastAsia"/>
    </w:rPr>
  </w:style>
  <w:style w:customStyle="1" w:styleId="BodyTextChar" w:type="character">
    <w:name w:val="Body Text Char"/>
    <w:basedOn w:val="DefaultParagraphFont"/>
    <w:link w:val="BodyText"/>
    <w:uiPriority w:val="99"/>
    <w:rsid w:val="005C711D"/>
    <w:rPr>
      <w:rFonts w:ascii="Times New Roman" w:cs="Times New Roman" w:eastAsiaTheme="minorEastAsia" w:hAnsi="Times New Roman"/>
    </w:rPr>
  </w:style>
  <w:style w:styleId="FollowedHyperlink" w:type="character">
    <w:name w:val="FollowedHyperlink"/>
    <w:basedOn w:val="DefaultParagraphFont"/>
    <w:uiPriority w:val="99"/>
    <w:semiHidden/>
    <w:unhideWhenUsed/>
    <w:rsid w:val="00CD5715"/>
    <w:rPr>
      <w:color w:themeColor="followedHyperlink" w:val="954F72"/>
      <w:u w:val="single"/>
    </w:rPr>
  </w:style>
  <w:style w:styleId="Revision" w:type="paragraph">
    <w:name w:val="Revision"/>
    <w:hidden/>
    <w:uiPriority w:val="99"/>
    <w:semiHidden/>
    <w:rsid w:val="00CD5715"/>
  </w:style>
  <w:style w:styleId="TableGrid" w:type="table">
    <w:name w:val="Table Grid"/>
    <w:basedOn w:val="TableNormal"/>
    <w:uiPriority w:val="39"/>
    <w:rsid w:val="002C3FC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2B1938"/>
    <w:rPr>
      <w:rFonts w:ascii="Times New Roman" w:cstheme="majorBidi" w:eastAsiaTheme="majorEastAsia" w:hAnsi="Times New Roman"/>
      <w:b/>
      <w:color w:themeColor="text1" w:val="000000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2B1938"/>
    <w:rPr>
      <w:rFonts w:ascii="Times New Roman" w:cstheme="majorBidi" w:eastAsiaTheme="majorEastAsia" w:hAnsi="Times New Roman"/>
      <w:b/>
      <w:color w:themeColor="text1" w:val="000000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2B1938"/>
    <w:rPr>
      <w:rFonts w:ascii="Times New Roman" w:cstheme="majorBidi" w:eastAsiaTheme="majorEastAsia" w:hAnsi="Times New Roman"/>
      <w:b/>
      <w:i/>
      <w:color w:themeColor="text1" w:val="000000"/>
    </w:rPr>
  </w:style>
  <w:style w:styleId="Caption" w:type="paragraph">
    <w:name w:val="caption"/>
    <w:basedOn w:val="Normal"/>
    <w:next w:val="Normal"/>
    <w:uiPriority w:val="35"/>
    <w:unhideWhenUsed/>
    <w:qFormat/>
    <w:rsid w:val="002C3FC2"/>
    <w:pPr>
      <w:spacing w:after="200"/>
      <w:ind w:firstLine="0"/>
    </w:pPr>
    <w:rPr>
      <w:b/>
      <w:iCs/>
      <w:color w:themeColor="text1" w:val="000000"/>
      <w:szCs w:val="18"/>
    </w:rPr>
  </w:style>
  <w:style w:customStyle="1" w:styleId="ImageCaption" w:type="paragraph">
    <w:name w:val="Image Caption"/>
    <w:basedOn w:val="Normal"/>
    <w:qFormat/>
    <w:rsid w:val="006314A4"/>
    <w:pPr>
      <w:spacing w:after="120"/>
      <w:ind w:firstLine="0"/>
    </w:pPr>
  </w:style>
  <w:style w:customStyle="1" w:styleId="TableCaption" w:type="paragraph">
    <w:name w:val="Table Caption"/>
    <w:basedOn w:val="Normal"/>
    <w:qFormat/>
    <w:rsid w:val="00BB0E4A"/>
    <w:pPr>
      <w:ind w:firstLine="0"/>
    </w:pPr>
    <w:rPr>
      <w:b/>
    </w:rPr>
  </w:style>
  <w:style w:customStyle="1" w:styleId="Figure" w:type="paragraph">
    <w:name w:val="Figure"/>
    <w:basedOn w:val="Normal"/>
    <w:qFormat/>
    <w:rsid w:val="0065679E"/>
    <w:pPr>
      <w:ind w:firstLine="0"/>
    </w:pPr>
  </w:style>
  <w:style w:customStyle="1" w:styleId="Heading4Char" w:type="character">
    <w:name w:val="Heading 4 Char"/>
    <w:basedOn w:val="DefaultParagraphFont"/>
    <w:link w:val="Heading4"/>
    <w:uiPriority w:val="9"/>
    <w:semiHidden/>
    <w:rsid w:val="00611FCA"/>
    <w:rPr>
      <w:rFonts w:ascii="Times New Roman" w:cstheme="majorBidi" w:eastAsiaTheme="majorEastAsia" w:hAnsi="Times New Roman"/>
      <w:iCs/>
      <w:color w:themeColor="text1" w:val="000000"/>
    </w:rPr>
  </w:style>
  <w:style w:customStyle="1" w:styleId="authors" w:type="paragraph">
    <w:name w:val="authors"/>
    <w:basedOn w:val="Heading4"/>
    <w:qFormat/>
    <w:rsid w:val="00611FCA"/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8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2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0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8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2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94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9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0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73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98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84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68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5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5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46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39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82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53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6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3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8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6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15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2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79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53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97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76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02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86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90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9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2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41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1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71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2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28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68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4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56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74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7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12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0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9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33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2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2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8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1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1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43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60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29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2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23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40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8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77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0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1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44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1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6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3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53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98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3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59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7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26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8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2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13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51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7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44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63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8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19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14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47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37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6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6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1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93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5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5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9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9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82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3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77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94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15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18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0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5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6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5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3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4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67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08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3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937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9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25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334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83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61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15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51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98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0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08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85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86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22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62827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6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1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8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8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20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05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01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6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14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9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65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0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83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03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1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96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77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9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0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26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0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3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6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3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2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57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1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7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2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2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9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3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2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8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9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1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7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45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52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8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1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97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1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1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hyperlink" Id="rId49" Target="https://doi.org/10.21105/joss.0304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doi.org/10.21105/joss.0304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2026-07-24T14:56:23Z</dcterms:created>
  <dcterms:modified xsi:type="dcterms:W3CDTF">2026-07-24T14:56:23Z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../bibfiles/references.bib</vt:lpwstr>
  </property>
  <property fmtid="{D5CDD505-2E9C-101B-9397-08002B2CF9AE}" pid="4" name="csl">
    <vt:lpwstr>../bibfiles/apa.csl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