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99.png" ContentType="image/png"/>
  <Override PartName="/word/media/rId202.png" ContentType="image/png"/>
  <Override PartName="/word/media/rId205.png" ContentType="image/png"/>
  <Override PartName="/word/media/rId208.png" ContentType="image/png"/>
  <Override PartName="/word/media/rId211.png" ContentType="image/png"/>
  <Override PartName="/word/media/rId2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317b1352b99b13286affdfb0a2e8cbc8adbfd89"/>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3,4</w:t>
      </w:r>
      <w:r>
        <w:t xml:space="preserve">, Anna-Lena Schubert</w:t>
      </w:r>
      <w:r>
        <w:rPr>
          <w:vertAlign w:val="superscript"/>
        </w:rPr>
        <w:t xml:space="preserve">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554bc173ea184840c70471cf1aa52e7ec845dc8"/>
    <w:p>
      <w:pPr>
        <w:pStyle w:val="Heading4"/>
      </w:pPr>
      <w:r>
        <w:rPr>
          <w:vertAlign w:val="superscript"/>
        </w:rPr>
        <w:t xml:space="preserve">5</w:t>
      </w:r>
      <w:r>
        <w:t xml:space="preserve"> </w:t>
      </w:r>
      <w:r>
        <w:t xml:space="preserve">Department of Psychology, University of Mainz, Mainz, Germany</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8">
        <w:r>
          <w:rPr>
            <w:rStyle w:val="Hyperlink"/>
          </w:rPr>
          <w:t xml:space="preserve">(https://stefanvermeent.github.io/abcd_ddm/)</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 MLD was supported by the NICHD National Research Service Award (NRSA) Fellowship (1F32HD112065-01).</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research-highlights"/>
    <w:p>
      <w:pPr>
        <w:pStyle w:val="Heading1"/>
      </w:pPr>
      <w:r>
        <w:t xml:space="preserve">Research Highlights</w:t>
      </w:r>
    </w:p>
    <w:p>
      <w:pPr>
        <w:numPr>
          <w:ilvl w:val="0"/>
          <w:numId w:val="1001"/>
        </w:numPr>
      </w:pPr>
      <w:r>
        <w:t xml:space="preserve">To understand how childhood adversity shapes cognitive abilities, the field needs analytical approaches that can jointly document and explain patterns of lowered and enhanced performance.</w:t>
      </w:r>
    </w:p>
    <w:p>
      <w:pPr>
        <w:numPr>
          <w:ilvl w:val="0"/>
          <w:numId w:val="1001"/>
        </w:numPr>
      </w:pPr>
      <w:r>
        <w:t xml:space="preserve">Using Drift Diffusion Modeling and Structural Equation Modeling, we analyzed associations between adversity and processing speed, inhibition, attention shifting, and mental rotation.</w:t>
      </w:r>
    </w:p>
    <w:p>
      <w:pPr>
        <w:numPr>
          <w:ilvl w:val="0"/>
          <w:numId w:val="1001"/>
        </w:numPr>
      </w:pPr>
      <w:r>
        <w:t xml:space="preserve">Household threat, but not material deprivation, was mostly associated with slower task-general processing speed and more response caution. In contrast, task-specific abilities were largely intact.</w:t>
      </w:r>
    </w:p>
    <w:p>
      <w:pPr>
        <w:numPr>
          <w:ilvl w:val="0"/>
          <w:numId w:val="1001"/>
        </w:numPr>
      </w:pPr>
      <w:r>
        <w:t xml:space="preserve">Researchers might overestimate the impact of childhood adversity on specific abilities and underestimate the impact on general processing speed and response caution using traditional measure.</w:t>
      </w:r>
    </w:p>
    <w:p>
      <w:r>
        <w:br w:type="page"/>
      </w:r>
    </w:p>
    <w:bookmarkEnd w:id="36"/>
    <w:bookmarkStart w:id="41" w:name="abstract"/>
    <w:p>
      <w:pPr>
        <w:pStyle w:val="Heading1"/>
      </w:pPr>
      <w:r>
        <w:t xml:space="preserve">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patterns.</w:t>
      </w:r>
      <w:r>
        <w:t xml:space="preserve"> </w:t>
      </w:r>
      <w:r>
        <w:t xml:space="preserve">First, studies commonly use and interpret raw performance differences, such as response times, which conflate different stages of cognitive processing.</w:t>
      </w:r>
      <w:r>
        <w:t xml:space="preserve"> </w:t>
      </w:r>
      <w:r>
        <w:t xml:space="preserve">Second, most studies either isolate or aggregate abilities, obscuring the degree to which individual differences reflect task-general (shared) or task-specific (unique) processes.</w:t>
      </w:r>
      <w:r>
        <w:t xml:space="preserve"> </w:t>
      </w:r>
      <w:r>
        <w:t xml:space="preserve">We addressed these challenges using Drift Diffusion Modeling (DDM) and structural equation modeling (SEM).</w:t>
      </w:r>
      <w:r>
        <w:t xml:space="preserve"> </w:t>
      </w:r>
      <w:r>
        <w:t xml:space="preserve">Leveraging a large, representative sample of 9-10 year-olds from the Adolescent Brain Cognitive Development (ABCD) study, we examined how two forms of adversity—material deprivation and household threat—were associated with performance on tasks measuring processing speed, inhibition, attention shifting, and mental rotation.</w:t>
      </w:r>
      <w:r>
        <w:t xml:space="preserve"> </w:t>
      </w:r>
      <w:r>
        <w:t xml:space="preserve">Using DDM, we decomposed performance on each task into three distinct stages of processing: speed of information uptake, response caution, and stimulus encoding/response execution.</w:t>
      </w:r>
      <w:r>
        <w:t xml:space="preserve"> </w:t>
      </w:r>
      <w:r>
        <w:t xml:space="preserve">Using SEM, we isolated task-general and task-specific variances in each processing stage and estimated their associations with the two forms of adversity.</w:t>
      </w:r>
      <w:r>
        <w:t xml:space="preserve"> </w:t>
      </w:r>
      <w:r>
        <w:t xml:space="preserve">Youth with more exposure to household threat (but not material deprivation) showed slower task-general processing speed, but showed intact task-specific abilities.</w:t>
      </w:r>
      <w:r>
        <w:t xml:space="preserve"> </w:t>
      </w:r>
      <w:r>
        <w:t xml:space="preserve">In addition, youth with more exposure to household threat tended to respond more cautiously in general.</w:t>
      </w:r>
      <w:r>
        <w:t xml:space="preserve"> </w:t>
      </w:r>
      <w:r>
        <w:t xml:space="preserve">These findings suggest that traditional assessments might overestimate the extent to which childhood adversity reduces specific abilities.</w:t>
      </w:r>
      <w:r>
        <w:t xml:space="preserve"> </w:t>
      </w:r>
      <w:r>
        <w:t xml:space="preserve">By combining DDM and SEM approaches, we can develop a more nuanced understanding of how adversity affects different aspects of youth’s cognitive performance.</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(2023)</w:t>
      </w:r>
      <w:r>
        <w:t xml:space="preserve"> </w:t>
      </w:r>
      <w:r>
        <w:t xml:space="preserve">recently applied this approach to model how socioeconomic status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2023)</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 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2023)</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5"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8">
        <w:r>
          <w:rPr>
            <w:rStyle w:val="Hyperlink"/>
          </w:rPr>
          <w:t xml:space="preserve">(https://stefanvermeent.github.io/abcd_ddm/)</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https://stefanvermeent.github.io/abcd_ddm/preregistrations/README.html</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8">
        <w:r>
          <w:rPr>
            <w:rStyle w:val="Hyperlink"/>
          </w:rPr>
          <w:t xml:space="preserve">https://stefanvermeent.github.io/abcd_ddm/</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 (See Table 1).</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Inhibition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4" w:name="meth_analyses"/>
    <w:p>
      <w:pPr>
        <w:pStyle w:val="Heading2"/>
      </w:pPr>
      <w:r>
        <w:t xml:space="preserve">Analysis Pipeline</w:t>
      </w:r>
    </w:p>
    <w:bookmarkStart w:id="53" w:name="meth_proposed"/>
    <w:p>
      <w:pPr>
        <w:pStyle w:val="Heading3"/>
      </w:pPr>
      <w:r>
        <w:t xml:space="preserve">Primary analyses</w:t>
      </w:r>
    </w:p>
    <w:p>
      <w:pPr>
        <w:pStyle w:val="FirstParagraph"/>
      </w:pPr>
      <w:r>
        <w:t xml:space="preserve">The approved Stage 1 Protocol for this manuscript can be found on the Open Science Framework (</w:t>
      </w:r>
      <w:hyperlink r:id="rId51">
        <w:r>
          <w:rPr>
            <w:rStyle w:val="Hyperlink"/>
          </w:rPr>
          <w:t xml:space="preserve">https://osf.io/4n8qr</w:t>
        </w:r>
      </w:hyperlink>
      <w:r>
        <w:t xml:space="preserve">).</w:t>
      </w:r>
      <w:r>
        <w:t xml:space="preserve"> </w:t>
      </w: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2">
        <w:r>
          <w:rPr>
            <w:rStyle w:val="Hyperlink"/>
          </w:rPr>
          <w:t xml:space="preserve">https://stefanvermeent.github.io/abcd_ddm/scripts/README.html</w:t>
        </w:r>
      </w:hyperlink>
      <w:r>
        <w:t xml:space="preserve">).</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3"/>
    <w:bookmarkEnd w:id="54"/>
    <w:bookmarkEnd w:id="55"/>
    <w:bookmarkStart w:id="61" w:name="results"/>
    <w:p>
      <w:pPr>
        <w:pStyle w:val="Heading1"/>
      </w:pPr>
      <w:r>
        <w:t xml:space="preserve">Results</w:t>
      </w:r>
    </w:p>
    <w:bookmarkStart w:id="58" w:name="model-fit"/>
    <w:p>
      <w:pPr>
        <w:pStyle w:val="Heading2"/>
      </w:pPr>
      <w:r>
        <w:t xml:space="preserve">Model fit</w:t>
      </w:r>
    </w:p>
    <w:bookmarkStart w:id="56" w:name="ddm"/>
    <w:p>
      <w:pPr>
        <w:pStyle w:val="Heading3"/>
      </w:pPr>
      <w:r>
        <w:t xml:space="preserve">DDM</w:t>
      </w:r>
    </w:p>
    <w:p>
      <w:pPr>
        <w:pStyle w:val="FirstParagraph"/>
      </w:pPr>
      <w:r>
        <w:t xml:space="preserve">Based on an assessment of model fit, we selected the following good-fitting DDM models for the substantive analysis: 1)</w:t>
      </w:r>
      <w:r>
        <w:t xml:space="preserve"> </w:t>
      </w:r>
      <w:r>
        <w:rPr>
          <w:iCs/>
          <w:i/>
        </w:rPr>
        <w:t xml:space="preserve">Mental Rotation Task</w:t>
      </w:r>
      <w:r>
        <w:t xml:space="preserve">, the standard model; 2)</w:t>
      </w:r>
      <w:r>
        <w:t xml:space="preserve"> </w:t>
      </w:r>
      <w:r>
        <w:rPr>
          <w:iCs/>
          <w:i/>
        </w:rPr>
        <w:t xml:space="preserve">Inhibition Task</w:t>
      </w:r>
      <w:r>
        <w:t xml:space="preserve">, the standard model with one set of parameter estimates across conditions; 3)</w:t>
      </w:r>
      <w:r>
        <w:t xml:space="preserve"> </w:t>
      </w:r>
      <w:r>
        <w:rPr>
          <w:iCs/>
          <w:i/>
        </w:rPr>
        <w:t xml:space="preserve">Attention Shifting Task</w:t>
      </w:r>
      <w:r>
        <w:t xml:space="preserve">, the standard model with one set of parameter estimates across conditions; 4)</w:t>
      </w:r>
      <w:r>
        <w:t xml:space="preserve"> </w:t>
      </w:r>
      <w:r>
        <w:rPr>
          <w:iCs/>
          <w:i/>
        </w:rPr>
        <w:t xml:space="preserve">Processing Speed Task</w:t>
      </w:r>
      <w:r>
        <w:t xml:space="preserve">, the standard model, but with RTs &lt; 1 s excluded to solve issues with fast outliers.</w:t>
      </w:r>
      <w:r>
        <w:t xml:space="preserve"> </w:t>
      </w:r>
      <w:r>
        <w:t xml:space="preserve">See the supplemental materials for a full overview of the DDM fitting results.</w:t>
      </w:r>
    </w:p>
    <w:p>
      <w:pPr>
        <w:pStyle w:val="BodyText"/>
      </w:pPr>
      <w:r>
        <w:t xml:space="preserve">The preregistered simulation-based model fit analysis yielded four (out of 16) correlations between observed and simulated RTs/accuracy that fell below the .80 cut-off: accuracies for Inhibition (.79), Attention Shifting (.73), Processing Speed (.65), and the 75th percentile of RTs for Mental Rotation (.76).</w:t>
      </w:r>
      <w:r>
        <w:t xml:space="preserve"> </w:t>
      </w:r>
      <w:r>
        <w:t xml:space="preserve">However, further analyses showed that all correlations were &gt; .80 when we simulated 100 trials for each task, instead of the same number of trials as the real data.</w:t>
      </w:r>
      <w:r>
        <w:t xml:space="preserve"> </w:t>
      </w:r>
      <w:r>
        <w:t xml:space="preserve">This suggested that the low correlations did not indicate bad parameter recovery, but rather a limitation in the preregistered procedure.</w:t>
      </w:r>
      <w:r>
        <w:t xml:space="preserve"> </w:t>
      </w:r>
      <w:r>
        <w:t xml:space="preserve">Therefore, we decided against further changes to the models or the removal of data points.</w:t>
      </w:r>
      <w:r>
        <w:t xml:space="preserve"> </w:t>
      </w:r>
      <w:r>
        <w:t xml:space="preserve">We provide more details about the model fit procedure, as well as the nature and reason of the deviation, in the supplemental materials (as well as the model fit results for the preregistered and updated approach).</w:t>
      </w:r>
    </w:p>
    <w:p>
      <w:pPr>
        <w:pStyle w:val="BodyText"/>
      </w:pPr>
      <w:r>
        <w:t xml:space="preserve">Table 2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were positively associated with boundary separation (indicating more response caution) in all tasks except Mental Rotation, although most of these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bookmarkEnd w:id="56"/>
    <w:bookmarkStart w:id="57" w:name="sem"/>
    <w:p>
      <w:pPr>
        <w:pStyle w:val="Heading3"/>
      </w:pPr>
      <w:r>
        <w:t xml:space="preserve">SEM</w:t>
      </w:r>
    </w:p>
    <w:p>
      <w:pPr>
        <w:pStyle w:val="FirstParagraph"/>
      </w:pPr>
      <w:r>
        <w:t xml:space="preserve">The SEM model was incrementally constructed in the training data in order to detect any parts that might need adjustment.</w:t>
      </w:r>
      <w:r>
        <w:t xml:space="preserve"> </w:t>
      </w:r>
      <w:r>
        <w:t xml:space="preserve">All parts of the model provided an acceptable to good account of the training data (full training model: CFI = .98, RMSEA = .04).</w:t>
      </w:r>
      <w:r>
        <w:t xml:space="preserve"> </w:t>
      </w:r>
      <w:r>
        <w:t xml:space="preserve">Therefore, we did not make any adjustments to the model before applying it to the test data (N = 9063).</w:t>
      </w:r>
      <w:r>
        <w:t xml:space="preserve"> </w:t>
      </w:r>
      <w:r>
        <w:t xml:space="preserve">The full model also provided a good account of the test data (CFI = .98, RMSEA = .05).</w:t>
      </w:r>
    </w:p>
    <w:p>
      <w:pPr>
        <w:pStyle w:val="BodyText"/>
      </w:pPr>
      <w:r>
        <w:t xml:space="preserve">Figure 4 presents a simplified overview of the measurement part of the final model in the test data (excluding task-specific covariances and regression paths involving the adversity measures).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 while task-general boundary separation and task-general non-decision time were positively correlated (</w:t>
      </w:r>
      <w:r>
        <w:rPr>
          <w:iCs/>
          <w:i/>
        </w:rPr>
        <w:t xml:space="preserve">r</w:t>
      </w:r>
      <w:r>
        <w:t xml:space="preserve"> </w:t>
      </w:r>
      <w:r>
        <w:t xml:space="preserve">= .71).</w:t>
      </w:r>
      <w:r>
        <w:t xml:space="preserve"> </w:t>
      </w:r>
      <w:r>
        <w:t xml:space="preserve">These findings show that youth who processed information faster were less cautious in decision-making than those who processed information more slowly, and that more cautious youth were slower in executing non-decision processes (e.g., encoding, response execution) than less cautious youth.</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bookmarkEnd w:id="57"/>
    <w:bookmarkEnd w:id="58"/>
    <w:bookmarkStart w:id="59"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shared across tasks, whereas task-specific effects capture variance unique to specific tasks.</w:t>
      </w:r>
      <w:r>
        <w:t xml:space="preserve"> </w:t>
      </w:r>
      <w:r>
        <w:t xml:space="preserve">The results are summarized in Figure 5.</w:t>
      </w:r>
    </w:p>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in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 in this task.</w:t>
      </w:r>
      <w:r>
        <w:t xml:space="preserve"> </w:t>
      </w:r>
      <w:r>
        <w:t xml:space="preserve">The association between household threat and task-specific boundary separation on the Inhibition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Inhibition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neither significantly different from zero (</w:t>
      </w:r>
      <m:oMath>
        <m:r>
          <m:t>β</m:t>
        </m:r>
      </m:oMath>
      <w:r>
        <w:t xml:space="preserve"> </w:t>
      </w:r>
      <w:r>
        <w:t xml:space="preserve">= 0.07, 95% CI = [-0.00, 0.13],</w:t>
      </w:r>
      <w:r>
        <w:t xml:space="preserve"> </w:t>
      </w:r>
      <w:r>
        <w:rPr>
          <w:iCs/>
          <w:i/>
        </w:rPr>
        <w:t xml:space="preserve">p</w:t>
      </w:r>
      <w:r>
        <w:t xml:space="preserve"> </w:t>
      </w:r>
      <w:r>
        <w:t xml:space="preserve">= .091), nor practically equivalent (</w:t>
      </w:r>
      <w:r>
        <w:rPr>
          <w:iCs/>
          <w:i/>
        </w:rPr>
        <w:t xml:space="preserve">p</w:t>
      </w:r>
      <w:r>
        <w:t xml:space="preserve"> </w:t>
      </w:r>
      <w:r>
        <w:t xml:space="preserve">= .159).</w:t>
      </w:r>
      <w:r>
        <w:t xml:space="preserve"> </w:t>
      </w:r>
      <w:r>
        <w:t xml:space="preserve">Thus, participants with more exposure to material deprivation might generally respond with somewhat more caution, but the effect size of this relationship is likely not meaningful.</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bookmarkEnd w:id="59"/>
    <w:bookmarkStart w:id="60" w:name="exploratory-analysis"/>
    <w:p>
      <w:pPr>
        <w:pStyle w:val="Heading2"/>
      </w:pPr>
      <w:r>
        <w:t xml:space="preserve">Exploratory analysis</w:t>
      </w:r>
    </w:p>
    <w:p>
      <w:pPr>
        <w:pStyle w:val="FirstParagraph"/>
      </w:pPr>
      <w:r>
        <w:t xml:space="preserve">To situate our primary analysis in the context of the broader literature based on raw performance measures, we decided to run a similar SEM model based on raw performance measures of the four cognitive tasks.</w:t>
      </w:r>
      <w:r>
        <w:t xml:space="preserve"> </w:t>
      </w:r>
      <w:r>
        <w:t xml:space="preserve">We used the measures as provided in the ABCD database</w:t>
      </w:r>
      <w:r>
        <w:t xml:space="preserve"> </w:t>
      </w:r>
      <w:r>
        <w:t xml:space="preserve">(Luciana et al., 2018)</w:t>
      </w:r>
      <w:r>
        <w:t xml:space="preserve">.</w:t>
      </w:r>
      <w:r>
        <w:t xml:space="preserve"> </w:t>
      </w:r>
      <w:r>
        <w:t xml:space="preserve">For the Processing Speed Task, the traditional raw measure is the number of correctly completed trials.</w:t>
      </w:r>
      <w:r>
        <w:t xml:space="preserve"> </w:t>
      </w:r>
      <w:r>
        <w:t xml:space="preserve">For the Mental Rotation Task, the traditional raw measure is the percentage correct divided by the mean response time on correct trials.</w:t>
      </w:r>
      <w:r>
        <w:t xml:space="preserve"> </w:t>
      </w:r>
      <w:r>
        <w:t xml:space="preserve">For the Attention Shifting and Inhibition Task, the traditional raw measure is a composite of accuracy and RT</w:t>
      </w:r>
      <w:r>
        <w:t xml:space="preserve"> </w:t>
      </w:r>
      <w:r>
        <w:t xml:space="preserve">(Slotkin et al., 2012)</w:t>
      </w:r>
      <w:r>
        <w:t xml:space="preserve">.</w:t>
      </w:r>
      <w:r>
        <w:t xml:space="preserve"> </w:t>
      </w:r>
      <w:r>
        <w:t xml:space="preserve">The model was the same as the primary analysis, with the exception that it included only one task-general factor.</w:t>
      </w:r>
      <w:r>
        <w:t xml:space="preserve"> </w:t>
      </w:r>
      <w:r>
        <w:t xml:space="preserve">Like the primary models, the exploratory model provided a good account of the test data (CFI = 1, RMSEA = 0.04).</w:t>
      </w:r>
    </w:p>
    <w:p>
      <w:pPr>
        <w:pStyle w:val="BodyText"/>
      </w:pPr>
      <w:r>
        <w:t xml:space="preserve">The results are summarized in Figure 6.</w:t>
      </w:r>
      <w:r>
        <w:t xml:space="preserve"> </w:t>
      </w:r>
      <w:r>
        <w:t xml:space="preserve">Similarly to the primary analysis, household threat was significantly negatively associated with task-general performance.</w:t>
      </w:r>
      <w:r>
        <w:t xml:space="preserve"> </w:t>
      </w:r>
      <w:r>
        <w:t xml:space="preserve">In addition, we found a significant—but practically equivalent—positive association between household threat and task-specific Flanker performance.</w:t>
      </w:r>
      <w:r>
        <w:t xml:space="preserve"> </w:t>
      </w:r>
      <w:r>
        <w:t xml:space="preserve">All of the other effects were practically equivalent at different levels of adversity.</w:t>
      </w:r>
    </w:p>
    <w:bookmarkEnd w:id="60"/>
    <w:bookmarkEnd w:id="61"/>
    <w:bookmarkStart w:id="65" w:name="discussion"/>
    <w:p>
      <w:pPr>
        <w:pStyle w:val="Heading1"/>
      </w:pPr>
      <w:r>
        <w:t xml:space="preserve">Discussion</w:t>
      </w:r>
    </w:p>
    <w:p>
      <w:pPr>
        <w:pStyle w:val="FirstParagraph"/>
      </w:pPr>
      <w:r>
        <w:t xml:space="preserve">Our aim was to better understand how two types of adversity—household threat and material deprivation—are associated with performance differences on three tasks covering inhibition, attention shifting, and mental rotation.</w:t>
      </w:r>
      <w:r>
        <w:t xml:space="preserve"> </w:t>
      </w:r>
      <w:r>
        <w:t xml:space="preserve">First, we used DDM to distinguish between three potential sources for performance differences: 1) the speed of information processing (drift rates), 2) response caution (boundary separation), and 3) the speed of encoding and response execution (non-decision time).</w:t>
      </w:r>
      <w:r>
        <w:t xml:space="preserve"> </w:t>
      </w:r>
      <w:r>
        <w:t xml:space="preserve">Second, we used SEM to investigate if observed differences in each DDM parameter were task-general (i.e., shared across all tasks) or task-specific (i.e., unique to a specific task).</w:t>
      </w:r>
      <w:r>
        <w:t xml:space="preserve"> </w:t>
      </w:r>
      <w:r>
        <w:t xml:space="preserve">Negative associations between adversity and either task-general or task-specific drift rates would be consistent with existing deficit frameworks.</w:t>
      </w:r>
      <w:r>
        <w:t xml:space="preserve"> </w:t>
      </w:r>
      <w:r>
        <w:t xml:space="preserve">Positive associations between adversity and task-specific drift rates would be consistent with existing adaptation frameworks.</w:t>
      </w:r>
      <w:r>
        <w:t xml:space="preserve"> </w:t>
      </w:r>
      <w:r>
        <w:t xml:space="preserve">In contrast, associations with other DDM parameters, or equivalent drift rates, would not be consistent with either framework.</w:t>
      </w:r>
    </w:p>
    <w:bookmarkStart w:id="62" w:name="primary-findings"/>
    <w:p>
      <w:pPr>
        <w:pStyle w:val="Heading2"/>
      </w:pPr>
      <w:r>
        <w:t xml:space="preserve">Primary findings</w:t>
      </w:r>
    </w:p>
    <w:p>
      <w:pPr>
        <w:pStyle w:val="FirstParagraph"/>
      </w:pPr>
      <w:r>
        <w:t xml:space="preserve">Our results provided some support for deficit frameworks, but not for adaptation frameworks.</w:t>
      </w:r>
      <w:r>
        <w:t xml:space="preserve"> </w:t>
      </w:r>
      <w:r>
        <w:t xml:space="preserve">Higher levels of household threat (but not material deprivation) were associated with lower task-general speed of information processing.</w:t>
      </w:r>
      <w:r>
        <w:t xml:space="preserve"> </w:t>
      </w:r>
      <w:r>
        <w:t xml:space="preserve">This was consistent with deficit frameworks, although based on previous literature, we actually expected stronger deficit patterns for deprivation than for threat</w:t>
      </w:r>
      <w:r>
        <w:t xml:space="preserve"> </w:t>
      </w:r>
      <w:r>
        <w:t xml:space="preserve">(Salhi et al., 2021; Sheridan et al., 2020; Sheridan &amp; McLaughlin, 2014)</w:t>
      </w:r>
      <w:r>
        <w:t xml:space="preserve">.</w:t>
      </w:r>
      <w:r>
        <w:t xml:space="preserve"> </w:t>
      </w:r>
      <w:r>
        <w:t xml:space="preserve">Inconsistent with either deficit or adaptation frameworks, task-specific inhibition and mental rotation abilities were intact.</w:t>
      </w:r>
      <w:r>
        <w:t xml:space="preserve"> </w:t>
      </w:r>
      <w:r>
        <w:t xml:space="preserve">The only exception was the negative association between material deprivation and attention shifting, where we did not find evidence for a significant attention shifting difference, nor for truly intact shifting.</w:t>
      </w:r>
      <w:r>
        <w:t xml:space="preserve"> </w:t>
      </w:r>
      <w:r>
        <w:t xml:space="preserve">Finally, both household threat and material deprivation led to more response caution, although the evidence for material deprivation was weak (not significantly different from zero, but also not practically equivalent to zero).</w:t>
      </w:r>
      <w:r>
        <w:t xml:space="preserve"> </w:t>
      </w:r>
      <w:r>
        <w:t xml:space="preserve">We did not find any differences in task-general or task-specific aspects of task preparation and response execution.</w:t>
      </w:r>
    </w:p>
    <w:p>
      <w:pPr>
        <w:pStyle w:val="BodyText"/>
      </w:pPr>
      <w:r>
        <w:t xml:space="preserve">The finding that most task-specific abilities—after accounting for task-general processing speed—were not affected by either type of adversity was striking in light of the existing literature.</w:t>
      </w:r>
      <w:r>
        <w:t xml:space="preserve"> </w:t>
      </w:r>
      <w:r>
        <w:t xml:space="preserve">It suggests that specific executive functions (i.e., inhibition, attention shifting, mental rotation) of youth with more adversity exposure were comparable with those of youth from low-adversity contexts.</w:t>
      </w:r>
      <w:r>
        <w:t xml:space="preserve"> </w:t>
      </w:r>
      <w:r>
        <w:t xml:space="preserve">This is inconsistent with previous interpretations of adversity-related performance differences based on raw performance measures.</w:t>
      </w:r>
      <w:r>
        <w:t xml:space="preserve"> </w:t>
      </w:r>
      <w:r>
        <w:t xml:space="preserve">For example, a previous study showed enhanced attention-shifting performance in youth with more exposure to threat</w:t>
      </w:r>
      <w:r>
        <w:t xml:space="preserve"> </w:t>
      </w:r>
      <w:r>
        <w:t xml:space="preserve">(Young et al., 2022; for similar findings with environmental and caregiver unpredictability, see Fields et al., 2021; Mittal et al., 2015)</w:t>
      </w:r>
      <w:r>
        <w:t xml:space="preserve">.</w:t>
      </w:r>
      <w:r>
        <w:t xml:space="preserve"> </w:t>
      </w:r>
      <w:r>
        <w:t xml:space="preserve">In addition, youth from adversity have previously been found to perform worse on inhibition tasks</w:t>
      </w:r>
      <w:r>
        <w:t xml:space="preserve"> </w:t>
      </w:r>
      <w:r>
        <w:t xml:space="preserve">(Farah et al., 2006; Fields et al., 2021; Mezzacappa, 2004; Mittal et al., 2015; Noble et al., 2005)</w:t>
      </w:r>
      <w:r>
        <w:t xml:space="preserve">, and previous investigations in the ABCD study found negative associations between SES and mental rotation</w:t>
      </w:r>
      <w:r>
        <w:t xml:space="preserve"> </w:t>
      </w:r>
      <w:r>
        <w:t xml:space="preserve">(Assari, 2020; Bignardi et al., 2023)</w:t>
      </w:r>
      <w:r>
        <w:t xml:space="preserve">.</w:t>
      </w:r>
    </w:p>
    <w:p>
      <w:pPr>
        <w:pStyle w:val="BodyText"/>
      </w:pPr>
      <w:r>
        <w:t xml:space="preserve">Instead, higher levels of household threat were associated with a lower task-general drift rate.</w:t>
      </w:r>
      <w:r>
        <w:t xml:space="preserve"> </w:t>
      </w:r>
      <w:r>
        <w:t xml:space="preserve">We argue that this is likely to reflect a slower basic speed of processing for three reasons.</w:t>
      </w:r>
      <w:r>
        <w:t xml:space="preserve"> </w:t>
      </w:r>
      <w:r>
        <w:t xml:space="preserve">First, previous studies showed that performance on executive functioning tasks involves basic processing speed</w:t>
      </w:r>
      <w:r>
        <w:t xml:space="preserve"> </w:t>
      </w:r>
      <w:r>
        <w:t xml:space="preserve">(Frischkorn et al., 2019)</w:t>
      </w:r>
      <w:r>
        <w:t xml:space="preserve">, with one study suggesting that it may be the predominant factor explaining individual differences on executive functioning tasks</w:t>
      </w:r>
      <w:r>
        <w:t xml:space="preserve"> </w:t>
      </w:r>
      <w:r>
        <w:t xml:space="preserve">(Löffler et al., 2022)</w:t>
      </w:r>
      <w:r>
        <w:t xml:space="preserve">.</w:t>
      </w:r>
      <w:r>
        <w:t xml:space="preserve"> </w:t>
      </w:r>
      <w:r>
        <w:t xml:space="preserve">Second, we included a simple Processing Speed Task to inform and scale each task-general factor.</w:t>
      </w:r>
      <w:r>
        <w:t xml:space="preserve"> </w:t>
      </w:r>
      <w:r>
        <w:t xml:space="preserve">Third, the drift rates of the Flanker and Attention Shifting Task were collapsed across incongruent (switch) and congruent (repeat) trials.</w:t>
      </w:r>
      <w:r>
        <w:t xml:space="preserve"> </w:t>
      </w:r>
      <w:r>
        <w:t xml:space="preserve">Thus, it is likely that the task-general drift rate accounted not only for variance related to incongruent (shift) trials, but also for variance related to the congruent (repeat) trials, which are generally thought to involve mostly basic processing.</w:t>
      </w:r>
      <w:r>
        <w:t xml:space="preserve"> </w:t>
      </w:r>
      <w:r>
        <w:t xml:space="preserve">While we consider the basic processing speed interpretation most likely given these reasons, we note that others have proposed that shared variance among executive functioning tasks predominantly reflects executive attention, or the ability to avoid distraction and to focus and maintain attention</w:t>
      </w:r>
      <w:r>
        <w:t xml:space="preserve"> </w:t>
      </w:r>
      <w:r>
        <w:t xml:space="preserve">(Mashburn et al., 2023; Zelazo &amp; Carlson, 2023)</w:t>
      </w:r>
      <w:r>
        <w:t xml:space="preserve">.</w:t>
      </w:r>
      <w:r>
        <w:t xml:space="preserve"> </w:t>
      </w:r>
      <w:r>
        <w:t xml:space="preserve">More research is warranted to test these two hypotheses against each other.</w:t>
      </w:r>
    </w:p>
    <w:p>
      <w:pPr>
        <w:pStyle w:val="BodyText"/>
      </w:pPr>
      <w:r>
        <w:t xml:space="preserve">Our results align to some extent with two recent investigations.</w:t>
      </w:r>
      <w:r>
        <w:t xml:space="preserve"> </w:t>
      </w:r>
      <w:r>
        <w:t xml:space="preserve">First,</w:t>
      </w:r>
      <w:r>
        <w:t xml:space="preserve"> </w:t>
      </w:r>
      <w:r>
        <w:t xml:space="preserve">Bignardi et al. (2023)</w:t>
      </w:r>
      <w:r>
        <w:t xml:space="preserve"> </w:t>
      </w:r>
      <w:r>
        <w:t xml:space="preserve">conducted a study in three large datasets—among which the ABCD study—in which they used SEM to separate task-general variance from task-specific variance.</w:t>
      </w:r>
      <w:r>
        <w:t xml:space="preserve"> </w:t>
      </w:r>
      <w:r>
        <w:t xml:space="preserve">They found that SES was positively associated with lower task-general performance in all datasets, but after accounting for task-general performance, found many instances of practically equivalent performance.</w:t>
      </w:r>
      <w:r>
        <w:t xml:space="preserve"> </w:t>
      </w:r>
      <w:r>
        <w:t xml:space="preserve">Interestingly, they found negative associations (meaning better performance) between SES and the Flanker and Attention Shifting Task in the ABCD data.</w:t>
      </w:r>
      <w:r>
        <w:t xml:space="preserve"> </w:t>
      </w:r>
      <w:r>
        <w:t xml:space="preserve">Second,</w:t>
      </w:r>
      <w:r>
        <w:t xml:space="preserve"> </w:t>
      </w:r>
      <w:r>
        <w:t xml:space="preserve">Young et al. (n.d.)</w:t>
      </w:r>
      <w:r>
        <w:t xml:space="preserve"> </w:t>
      </w:r>
      <w:r>
        <w:t xml:space="preserve">examined associations between SES and unpredictability with performance on an achievement task battery, comparing specific subtasks to overall performance across tasks.</w:t>
      </w:r>
      <w:r>
        <w:t xml:space="preserve"> </w:t>
      </w:r>
      <w:r>
        <w:t xml:space="preserve">Similar to our findings, lower SES was associated with lower overall performance, but with intact (or even enhanced) performance on most specific subtasks, relative to the overall effect.</w:t>
      </w:r>
      <w:r>
        <w:t xml:space="preserve"> </w:t>
      </w:r>
      <w:r>
        <w:t xml:space="preserve">However, these studies did not separate cognitive abilities from other processes such as response caution.</w:t>
      </w:r>
    </w:p>
    <w:p>
      <w:pPr>
        <w:pStyle w:val="BodyText"/>
      </w:pPr>
      <w:r>
        <w:t xml:space="preserve">Household threat (and to a lesser extent material deprivation) was also associated with more task-general response caution.</w:t>
      </w:r>
      <w:r>
        <w:t xml:space="preserve"> </w:t>
      </w:r>
      <w:r>
        <w:t xml:space="preserve">Traditional assessments could misinterpret this as impaired ability, as it slows down responses.</w:t>
      </w:r>
      <w:r>
        <w:t xml:space="preserve"> </w:t>
      </w:r>
      <w:r>
        <w:t xml:space="preserve">In contrast, task-specific response caution was lower for the Attention Shifting and Inhibition Task (although the latter was practically equivalent).</w:t>
      </w:r>
      <w:r>
        <w:t xml:space="preserve"> </w:t>
      </w:r>
      <w:r>
        <w:t xml:space="preserve">Thus, youth with more exposure to household threat are generally more cautious, but become less cautious specifically when processing conflicting information (i.e., distractions on the Inhibition Task and changing task-demands on the Attention Shifting Task).</w:t>
      </w:r>
      <w:r>
        <w:t xml:space="preserve"> </w:t>
      </w:r>
      <w:r>
        <w:t xml:space="preserve">What might explain these differences?</w:t>
      </w:r>
      <w:r>
        <w:t xml:space="preserve"> </w:t>
      </w:r>
      <w:r>
        <w:t xml:space="preserve">In comparing deficit and adaptation frameworks, we focused mainly on cognitive abilities with a clear performance benchmark (e.g., higher drift rates reflecting better performance).</w:t>
      </w:r>
      <w:r>
        <w:t xml:space="preserve"> </w:t>
      </w:r>
      <w:r>
        <w:t xml:space="preserve">Differences in response caution reflect strategies, not abilities</w:t>
      </w:r>
      <w:r>
        <w:t xml:space="preserve"> </w:t>
      </w:r>
      <w:r>
        <w:t xml:space="preserve">(Frankenhuis et al., 2020)</w:t>
      </w:r>
      <w:r>
        <w:t xml:space="preserve">.</w:t>
      </w:r>
      <w:r>
        <w:t xml:space="preserve"> </w:t>
      </w:r>
      <w:r>
        <w:t xml:space="preserve">However, we speculate that these findings could reflect contextually appropriate adaptive responses to threatening conditions.</w:t>
      </w:r>
      <w:r>
        <w:t xml:space="preserve"> </w:t>
      </w:r>
      <w:r>
        <w:t xml:space="preserve">Evidence across multiple species suggests that a high probability of threat tends to increase general response caution (prioritizing accuracy over speed), to avoid costly mistakes</w:t>
      </w:r>
      <w:r>
        <w:t xml:space="preserve"> </w:t>
      </w:r>
      <w:r>
        <w:t xml:space="preserve">(Chittka et al., 2009)</w:t>
      </w:r>
      <w:r>
        <w:t xml:space="preserve">.</w:t>
      </w:r>
      <w:r>
        <w:t xml:space="preserve"> </w:t>
      </w:r>
      <w:r>
        <w:t xml:space="preserve">However, under acute threat, prioritizing speed over accuracy might be better (e.g., fleeing even though there was no threat).</w:t>
      </w:r>
      <w:r>
        <w:t xml:space="preserve"> </w:t>
      </w:r>
      <w:r>
        <w:t xml:space="preserve">Although the Inhibition and Attention Shifting Task did not signal threat, they did evoke competing demands and conflicting information.</w:t>
      </w:r>
      <w:r>
        <w:t xml:space="preserve"> </w:t>
      </w:r>
      <w:r>
        <w:t xml:space="preserve">In real-life settings, such environmental cues could signal a threat, in which case prioritizing speed over accuracy would facilitate rapid detection and responding</w:t>
      </w:r>
      <w:r>
        <w:t xml:space="preserve"> </w:t>
      </w:r>
      <w:r>
        <w:t xml:space="preserve">(Frankenhuis et al., 2016; Mittal et al., 2015)</w:t>
      </w:r>
      <w:r>
        <w:t xml:space="preserve">.</w:t>
      </w:r>
      <w:r>
        <w:t xml:space="preserve"> </w:t>
      </w:r>
      <w:r>
        <w:t xml:space="preserve">However, as neither pattern was preregistered, we should calibrate our interpretations accordingly.</w:t>
      </w:r>
    </w:p>
    <w:bookmarkEnd w:id="62"/>
    <w:bookmarkStart w:id="63" w:name="X13f6884f7da762f585b484fdb892a9cfb2743dd"/>
    <w:p>
      <w:pPr>
        <w:pStyle w:val="Heading2"/>
      </w:pPr>
      <w:r>
        <w:t xml:space="preserve">Strengths, limitations, and future directions</w:t>
      </w:r>
    </w:p>
    <w:p>
      <w:pPr>
        <w:pStyle w:val="FirstParagraph"/>
      </w:pPr>
      <w:r>
        <w:t xml:space="preserve">The current study has several strengths.</w:t>
      </w:r>
      <w:r>
        <w:t xml:space="preserve"> </w:t>
      </w:r>
      <w:r>
        <w:t xml:space="preserve">First, the analyses were based on the ABCD sample, a large, representative US sample.</w:t>
      </w:r>
      <w:r>
        <w:t xml:space="preserve"> </w:t>
      </w:r>
      <w:r>
        <w:t xml:space="preserve">Second, we developed a framework that can simultaneously account for adversity-related impairments and enhancements and captures cognitive processes that are more theoretically meaningful than raw scores.</w:t>
      </w:r>
      <w:r>
        <w:t xml:space="preserve"> </w:t>
      </w:r>
      <w:r>
        <w:t xml:space="preserve">Third, we used measures of material deprivation and household threat that were corrected for measurement non-invariance using MNLFA, resulting in unbiased estimates of both dimensions of adversity.</w:t>
      </w:r>
    </w:p>
    <w:p>
      <w:pPr>
        <w:pStyle w:val="BodyText"/>
      </w:pPr>
      <w:r>
        <w:t xml:space="preserve">The current study also had limitations.</w:t>
      </w:r>
      <w:r>
        <w:t xml:space="preserve"> </w:t>
      </w:r>
      <w:r>
        <w:t xml:space="preserve">First, we were only able to include three cognitive abilities (aside from processing speed) that were compatible with DDM assumptions.</w:t>
      </w:r>
      <w:r>
        <w:t xml:space="preserve"> </w:t>
      </w:r>
      <w:r>
        <w:t xml:space="preserve">This inevitably excluded many important abilities, which limited the scope of what is captured both in task-general and task-specific processes.</w:t>
      </w:r>
      <w:r>
        <w:t xml:space="preserve"> </w:t>
      </w:r>
      <w:r>
        <w:t xml:space="preserve">Second, because of the low number of trials per task we were unable to separately model the task conditions of the Flanker and Attention Shifting Task.</w:t>
      </w:r>
      <w:r>
        <w:t xml:space="preserve"> </w:t>
      </w:r>
      <w:r>
        <w:t xml:space="preserve">This may have made the task-specific estimates less precise measures of inhibition and attention shifting.</w:t>
      </w:r>
      <w:r>
        <w:t xml:space="preserve"> </w:t>
      </w:r>
      <w:r>
        <w:t xml:space="preserve">Third, despite the enhanced individual variation gained from the MNLFA scores, items composing those scores of household threat and material deprivation were binary, asking for the presence or absence of certain exposures over the last 12 months.</w:t>
      </w:r>
      <w:r>
        <w:t xml:space="preserve"> </w:t>
      </w:r>
      <w:r>
        <w:t xml:space="preserve">Therefore, we were not able to account for the role of frequency and severity of those experiences in that window (let alone over the whole of ontogeny).</w:t>
      </w:r>
      <w:r>
        <w:t xml:space="preserve"> </w:t>
      </w:r>
      <w:r>
        <w:t xml:space="preserve">Fourth, while household threat was child-reported, material deprivation was parent-reported.</w:t>
      </w:r>
      <w:r>
        <w:t xml:space="preserve"> </w:t>
      </w:r>
      <w:r>
        <w:t xml:space="preserve">Thus, the measure of material deprivation might not have fully captured youths’ own subjective perception, which may partly explain why household threat was more strongly related to cognitive performance than material deprivation.</w:t>
      </w:r>
    </w:p>
    <w:p>
      <w:pPr>
        <w:pStyle w:val="BodyText"/>
      </w:pPr>
      <w:r>
        <w:t xml:space="preserve">Future research can build on this study in a couple of ways.</w:t>
      </w:r>
      <w:r>
        <w:t xml:space="preserve"> </w:t>
      </w:r>
      <w:r>
        <w:t xml:space="preserve">First, it will be important to better understand the processes making up task-general drift rate.</w:t>
      </w:r>
      <w:r>
        <w:t xml:space="preserve"> </w:t>
      </w:r>
      <w:r>
        <w:t xml:space="preserve">To this end, future research should include measures of candidate processes (e.g., basic processing speed, attention maintenance), ideally several measures per process to obtain good latent estimates.</w:t>
      </w:r>
      <w:r>
        <w:t xml:space="preserve"> </w:t>
      </w:r>
      <w:r>
        <w:t xml:space="preserve">In addition, neuro imaging data could be linked directly to DDM parameters to investigate which brain networks are associated with differences in task-general drift rates</w:t>
      </w:r>
      <w:r>
        <w:t xml:space="preserve"> </w:t>
      </w:r>
      <w:r>
        <w:t xml:space="preserve">(e.g., Schubert &amp; Frischkorn, 2020)</w:t>
      </w:r>
      <w:r>
        <w:t xml:space="preserve">.</w:t>
      </w:r>
      <w:r>
        <w:t xml:space="preserve"> </w:t>
      </w:r>
      <w:r>
        <w:t xml:space="preserve">Second, future research could aim to better understand task-general and task-specific differences in response caution.</w:t>
      </w:r>
      <w:r>
        <w:t xml:space="preserve"> </w:t>
      </w:r>
      <w:r>
        <w:t xml:space="preserve">For example, do youth from adversity show more task-general response caution due to performance anxiety?</w:t>
      </w:r>
      <w:r>
        <w:t xml:space="preserve"> </w:t>
      </w:r>
      <w:r>
        <w:t xml:space="preserve">If so, does such anxiety interfere more with their performance on some tasks than others?</w:t>
      </w:r>
      <w:r>
        <w:t xml:space="preserve"> </w:t>
      </w:r>
      <w:r>
        <w:t xml:space="preserve">Can training programs targeting anxiety boost their performance?</w:t>
      </w:r>
      <w:r>
        <w:t xml:space="preserve"> </w:t>
      </w:r>
      <w:r>
        <w:t xml:space="preserve">Third, our approach could be extended to model developmental trajectories of the cognitive processes as a function of adversity.</w:t>
      </w:r>
    </w:p>
    <w:p>
      <w:pPr>
        <w:pStyle w:val="BodyText"/>
      </w:pPr>
      <w:r>
        <w:t xml:space="preserve">Our approach of combining DDM and SEM can also enrich perspectives that promote using culturally-sensitive assessments of executive functioning that relate better to youths pre-existing goals, values, and lived experiences</w:t>
      </w:r>
      <w:r>
        <w:t xml:space="preserve"> </w:t>
      </w:r>
      <w:r>
        <w:t xml:space="preserve">(Doebel, 2020; Miller-Cotto et al., 2022; Niebaum &amp; Munakata, 2023; Nketia et al., 2023; Zuilkowski et al., 2016; also see Zelazo &amp; Carlson, 2023)</w:t>
      </w:r>
      <w:r>
        <w:t xml:space="preserve">.</w:t>
      </w:r>
      <w:r>
        <w:t xml:space="preserve"> </w:t>
      </w:r>
      <w:r>
        <w:t xml:space="preserve">We agree that more ecologically relevant assessments are needed, but, to the extent that they also rely on response times and accuracy, will suffer from some of the same methodological limitations as traditional tasks.</w:t>
      </w:r>
      <w:r>
        <w:t xml:space="preserve"> </w:t>
      </w:r>
      <w:r>
        <w:t xml:space="preserve">This is exemplified by recent attempts to make task-content more ecologically relevant.</w:t>
      </w:r>
      <w:r>
        <w:t xml:space="preserve"> </w:t>
      </w:r>
      <w:r>
        <w:t xml:space="preserve">While promising, the effects are sometimes difficult to interpret, with different types of content affecting performance in unexpected and inconsistent ways—in some cases helping and in others hindering performance.</w:t>
      </w:r>
      <w:r>
        <w:t xml:space="preserve"> </w:t>
      </w:r>
      <w:r>
        <w:t xml:space="preserve">For instance, testing materials involving money can help to close achievement gaps on working memory tasks</w:t>
      </w:r>
      <w:r>
        <w:t xml:space="preserve"> </w:t>
      </w:r>
      <w:r>
        <w:t xml:space="preserve">(Young et al., 2022)</w:t>
      </w:r>
      <w:r>
        <w:t xml:space="preserve">, but at the same time harm performance on mathematics exams</w:t>
      </w:r>
      <w:r>
        <w:t xml:space="preserve"> </w:t>
      </w:r>
      <w:r>
        <w:t xml:space="preserve">(Duquennois, 2022; Muskens, 2019)</w:t>
      </w:r>
      <w:r>
        <w:t xml:space="preserve">.</w:t>
      </w:r>
      <w:r>
        <w:t xml:space="preserve"> </w:t>
      </w:r>
      <w:r>
        <w:t xml:space="preserve">This could mean that 1) the effect of these materials on performance is task or domain-specific, and 2) that specific manipulations can have different—even opposing—effects depending on the relevant process.</w:t>
      </w:r>
      <w:r>
        <w:t xml:space="preserve"> </w:t>
      </w:r>
      <w:r>
        <w:t xml:space="preserve">Our approach offers a crucial tool to systematically unpack these differences and to understand how interventions can be best tailored to a child’s unique circumstances given a particular cognitive domain.</w:t>
      </w:r>
    </w:p>
    <w:bookmarkEnd w:id="63"/>
    <w:bookmarkStart w:id="64" w:name="conclusion"/>
    <w:p>
      <w:pPr>
        <w:pStyle w:val="Heading2"/>
      </w:pPr>
      <w:r>
        <w:t xml:space="preserve">Conclusion</w:t>
      </w:r>
    </w:p>
    <w:p>
      <w:pPr>
        <w:pStyle w:val="FirstParagraph"/>
      </w:pPr>
      <w:r>
        <w:t xml:space="preserve">Taken together, we find that adversity is mostly associated with task-general processes, as well as ability-irrelevant response caution, yet that task-specific abilities are mostly intact.</w:t>
      </w:r>
      <w:r>
        <w:t xml:space="preserve"> </w:t>
      </w:r>
      <w:r>
        <w:t xml:space="preserve">This suggests that traditional cognitive assessments may overestimate the effect of adversity on youth’s specific abilities (both impairments and enhancements).</w:t>
      </w:r>
      <w:r>
        <w:t xml:space="preserve"> </w:t>
      </w:r>
      <w:r>
        <w:t xml:space="preserve">Our analytical approach provides a solution.</w:t>
      </w:r>
      <w:r>
        <w:t xml:space="preserve"> </w:t>
      </w:r>
      <w:r>
        <w:t xml:space="preserve">By combining DDM and SEM approaches, we can start to develop a more nuanced understanding of how adversity affects different aspects of cognitive performance among youth and across development.</w:t>
      </w:r>
      <w:r>
        <w:t xml:space="preserve"> </w:t>
      </w:r>
      <w:r>
        <w:t xml:space="preserve">This approach requires large datasets containing multiple cognitive tasks, a requirement that is increasingly feasible with the availability of large, secondary datasets in developmental science</w:t>
      </w:r>
      <w:r>
        <w:t xml:space="preserve"> </w:t>
      </w:r>
      <w:r>
        <w:t xml:space="preserve">(Kievit et al., 2022)</w:t>
      </w:r>
      <w:r>
        <w:t xml:space="preserve">.</w:t>
      </w:r>
      <w:r>
        <w:t xml:space="preserve"> </w:t>
      </w:r>
      <w:r>
        <w:t xml:space="preserve">Thus, we can develop a more balanced, well-rounded understanding of how adversity shapes cognitive development that integrates both deficit and adaptation perspectives.</w:t>
      </w:r>
    </w:p>
    <w:p>
      <w:r>
        <w:br w:type="page"/>
      </w:r>
    </w:p>
    <w:bookmarkEnd w:id="64"/>
    <w:bookmarkEnd w:id="65"/>
    <w:bookmarkStart w:id="66"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Inhibition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66"/>
    <w:bookmarkStart w:id="217" w:name="references"/>
    <w:p>
      <w:pPr>
        <w:pStyle w:val="Heading1"/>
      </w:pPr>
      <w:r>
        <w:t xml:space="preserve">References</w:t>
      </w:r>
    </w:p>
    <w:bookmarkStart w:id="198" w:name="refs"/>
    <w:bookmarkStart w:id="68"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67">
        <w:r>
          <w:rPr>
            <w:rStyle w:val="Hyperlink"/>
          </w:rPr>
          <w:t xml:space="preserve">https://doi.org/10.3390/pediatric12030028</w:t>
        </w:r>
      </w:hyperlink>
    </w:p>
    <w:bookmarkEnd w:id="68"/>
    <w:bookmarkStart w:id="70"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9">
        <w:r>
          <w:rPr>
            <w:rStyle w:val="Hyperlink"/>
          </w:rPr>
          <w:t xml:space="preserve">https://doi.org/10.1037/met0000077</w:t>
        </w:r>
      </w:hyperlink>
    </w:p>
    <w:bookmarkEnd w:id="70"/>
    <w:bookmarkStart w:id="72"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1">
        <w:r>
          <w:rPr>
            <w:rStyle w:val="Hyperlink"/>
          </w:rPr>
          <w:t xml:space="preserve">https://doi.org/10.1111/j.2517-6161.1995.tb02031.x</w:t>
        </w:r>
      </w:hyperlink>
    </w:p>
    <w:bookmarkEnd w:id="72"/>
    <w:bookmarkStart w:id="74" w:name="ref-bignardi_2023"/>
    <w:p>
      <w:pPr>
        <w:pStyle w:val="Bibliography"/>
      </w:pPr>
      <w:r>
        <w:t xml:space="preserve">Bignardi, G., Mareva, S., &amp; Astle, D. E. (2023). Parental socioeconomic status weakly predicts specific cognitive and academic skills beyond general cognitive ability.</w:t>
      </w:r>
      <w:r>
        <w:t xml:space="preserve"> </w:t>
      </w:r>
      <w:r>
        <w:rPr>
          <w:iCs/>
          <w:i/>
        </w:rPr>
        <w:t xml:space="preserve">Developmental Science</w:t>
      </w:r>
      <w:r>
        <w:t xml:space="preserve">, e13451.</w:t>
      </w:r>
      <w:r>
        <w:t xml:space="preserve"> </w:t>
      </w:r>
      <w:hyperlink r:id="rId73">
        <w:r>
          <w:rPr>
            <w:rStyle w:val="Hyperlink"/>
          </w:rPr>
          <w:t xml:space="preserve">https://doi.org/10.1111/desc.13451</w:t>
        </w:r>
      </w:hyperlink>
    </w:p>
    <w:bookmarkEnd w:id="74"/>
    <w:bookmarkStart w:id="76"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5">
        <w:r>
          <w:rPr>
            <w:rStyle w:val="Hyperlink"/>
          </w:rPr>
          <w:t xml:space="preserve">https://doi.org/10.1111/j.1469-7610.2006.01611.x</w:t>
        </w:r>
      </w:hyperlink>
    </w:p>
    <w:bookmarkEnd w:id="76"/>
    <w:bookmarkStart w:id="78"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7">
        <w:r>
          <w:rPr>
            <w:rStyle w:val="Hyperlink"/>
          </w:rPr>
          <w:t xml:space="preserve">https://doi.org/10.1093/arclin/acv031</w:t>
        </w:r>
      </w:hyperlink>
    </w:p>
    <w:bookmarkEnd w:id="78"/>
    <w:bookmarkStart w:id="80" w:name="ref-chittka_2009"/>
    <w:p>
      <w:pPr>
        <w:pStyle w:val="Bibliography"/>
      </w:pPr>
      <w:r>
        <w:t xml:space="preserve">Chittka, L., Skorupski, P., &amp; Raine, N. E. (2009). Speed–accuracy tradeoffs in animal decision making.</w:t>
      </w:r>
      <w:r>
        <w:t xml:space="preserve"> </w:t>
      </w:r>
      <w:r>
        <w:rPr>
          <w:iCs/>
          <w:i/>
        </w:rPr>
        <w:t xml:space="preserve">Trends in Ecology &amp; Evolution</w:t>
      </w:r>
      <w:r>
        <w:t xml:space="preserve">,</w:t>
      </w:r>
      <w:r>
        <w:t xml:space="preserve"> </w:t>
      </w:r>
      <w:r>
        <w:rPr>
          <w:iCs/>
          <w:i/>
        </w:rPr>
        <w:t xml:space="preserve">24</w:t>
      </w:r>
      <w:r>
        <w:t xml:space="preserve">(7), 400–407.</w:t>
      </w:r>
      <w:r>
        <w:t xml:space="preserve"> </w:t>
      </w:r>
      <w:hyperlink r:id="rId79">
        <w:r>
          <w:rPr>
            <w:rStyle w:val="Hyperlink"/>
          </w:rPr>
          <w:t xml:space="preserve">https://doi.org/10.1016/j.tree.2009.02.010</w:t>
        </w:r>
      </w:hyperlink>
    </w:p>
    <w:bookmarkEnd w:id="80"/>
    <w:bookmarkStart w:id="82"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1">
        <w:r>
          <w:rPr>
            <w:rStyle w:val="Hyperlink"/>
          </w:rPr>
          <w:t xml:space="preserve">https://doi.org/10.1080/10705510709336738</w:t>
        </w:r>
      </w:hyperlink>
    </w:p>
    <w:bookmarkEnd w:id="82"/>
    <w:bookmarkStart w:id="84"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3">
        <w:r>
          <w:rPr>
            <w:rStyle w:val="Hyperlink"/>
          </w:rPr>
          <w:t xml:space="preserve">https://doi.org/10.1080/00273171.2014.889594</w:t>
        </w:r>
      </w:hyperlink>
    </w:p>
    <w:bookmarkEnd w:id="84"/>
    <w:bookmarkStart w:id="86"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5">
        <w:r>
          <w:rPr>
            <w:rStyle w:val="Hyperlink"/>
          </w:rPr>
          <w:t xml:space="preserve">https://doi.org/10.1016/j.dcn.2021.101043</w:t>
        </w:r>
      </w:hyperlink>
    </w:p>
    <w:bookmarkEnd w:id="86"/>
    <w:bookmarkStart w:id="88"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7">
        <w:r>
          <w:rPr>
            <w:rStyle w:val="Hyperlink"/>
          </w:rPr>
          <w:t xml:space="preserve">https://doi.org/10.1111/asap.12001</w:t>
        </w:r>
      </w:hyperlink>
    </w:p>
    <w:bookmarkEnd w:id="88"/>
    <w:bookmarkStart w:id="90"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9">
        <w:r>
          <w:rPr>
            <w:rStyle w:val="Hyperlink"/>
          </w:rPr>
          <w:t xml:space="preserve">https://doi.org/10.1080/09297049.2021.1888905</w:t>
        </w:r>
      </w:hyperlink>
    </w:p>
    <w:bookmarkEnd w:id="90"/>
    <w:bookmarkStart w:id="91" w:name="ref-doebel_2020"/>
    <w:p>
      <w:pPr>
        <w:pStyle w:val="Bibliography"/>
      </w:pPr>
      <w:r>
        <w:t xml:space="preserve">Doebel, S. (2020). Rethinking executive function and its development.</w:t>
      </w:r>
      <w:r>
        <w:t xml:space="preserve"> </w:t>
      </w:r>
      <w:r>
        <w:rPr>
          <w:iCs/>
          <w:i/>
        </w:rPr>
        <w:t xml:space="preserve">Perspectives on Psychological Science</w:t>
      </w:r>
      <w:r>
        <w:t xml:space="preserve">,</w:t>
      </w:r>
      <w:r>
        <w:t xml:space="preserve"> </w:t>
      </w:r>
      <w:r>
        <w:rPr>
          <w:iCs/>
          <w:i/>
        </w:rPr>
        <w:t xml:space="preserve">15</w:t>
      </w:r>
      <w:r>
        <w:t xml:space="preserve">(4), 942–956.</w:t>
      </w:r>
    </w:p>
    <w:bookmarkEnd w:id="91"/>
    <w:bookmarkStart w:id="93" w:name="ref-duquennois_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92">
        <w:r>
          <w:rPr>
            <w:rStyle w:val="Hyperlink"/>
          </w:rPr>
          <w:t xml:space="preserve">https://doi.org/10.1257/aer.20201661</w:t>
        </w:r>
      </w:hyperlink>
    </w:p>
    <w:bookmarkEnd w:id="93"/>
    <w:bookmarkStart w:id="95" w:name="ref-ellis_2022"/>
    <w:p>
      <w:pPr>
        <w:pStyle w:val="Bibliography"/>
      </w:pPr>
      <w:r>
        <w:t xml:space="preserve">Ellis, B. J.,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4">
        <w:r>
          <w:rPr>
            <w:rStyle w:val="Hyperlink"/>
          </w:rPr>
          <w:t xml:space="preserve">https://doi.org/10.1017/S0954579420000887</w:t>
        </w:r>
      </w:hyperlink>
    </w:p>
    <w:bookmarkEnd w:id="95"/>
    <w:bookmarkStart w:id="9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6">
        <w:r>
          <w:rPr>
            <w:rStyle w:val="Hyperlink"/>
          </w:rPr>
          <w:t xml:space="preserve">https://doi.org/10.1016/j.brainres.2006.06.072</w:t>
        </w:r>
      </w:hyperlink>
    </w:p>
    <w:bookmarkEnd w:id="97"/>
    <w:bookmarkStart w:id="9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8">
        <w:r>
          <w:rPr>
            <w:rStyle w:val="Hyperlink"/>
          </w:rPr>
          <w:t xml:space="preserve">https://doi.org/10.1111/desc.13133</w:t>
        </w:r>
      </w:hyperlink>
    </w:p>
    <w:bookmarkEnd w:id="99"/>
    <w:bookmarkStart w:id="10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0">
        <w:r>
          <w:rPr>
            <w:rStyle w:val="Hyperlink"/>
          </w:rPr>
          <w:t xml:space="preserve">https://doi.org/10.1146/annurev-psych-122414-033645</w:t>
        </w:r>
      </w:hyperlink>
    </w:p>
    <w:bookmarkEnd w:id="101"/>
    <w:bookmarkStart w:id="103"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2">
        <w:r>
          <w:rPr>
            <w:rStyle w:val="Hyperlink"/>
          </w:rPr>
          <w:t xml:space="preserve">https://doi.org/10.1016/j.copsyc.2015.08.011</w:t>
        </w:r>
      </w:hyperlink>
    </w:p>
    <w:bookmarkEnd w:id="103"/>
    <w:bookmarkStart w:id="105"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4">
        <w:r>
          <w:rPr>
            <w:rStyle w:val="Hyperlink"/>
          </w:rPr>
          <w:t xml:space="preserve">https://doi.org/10.1177/0963721413484324</w:t>
        </w:r>
      </w:hyperlink>
    </w:p>
    <w:bookmarkEnd w:id="105"/>
    <w:bookmarkStart w:id="107"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6">
        <w:r>
          <w:rPr>
            <w:rStyle w:val="Hyperlink"/>
          </w:rPr>
          <w:t xml:space="preserve">https://doi.org/10.1016/j.tics.2020.03.007</w:t>
        </w:r>
      </w:hyperlink>
    </w:p>
    <w:bookmarkEnd w:id="107"/>
    <w:bookmarkStart w:id="109"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8">
        <w:r>
          <w:rPr>
            <w:rStyle w:val="Hyperlink"/>
          </w:rPr>
          <w:t xml:space="preserve">https://doi.org/10.1016/j.intell.2019.05.003</w:t>
        </w:r>
      </w:hyperlink>
    </w:p>
    <w:bookmarkEnd w:id="109"/>
    <w:bookmarkStart w:id="111"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10">
        <w:r>
          <w:rPr>
            <w:rStyle w:val="Hyperlink"/>
          </w:rPr>
          <w:t xml:space="preserve">https://doi.org/10.1016/j.dcn.2018.04.004</w:t>
        </w:r>
      </w:hyperlink>
    </w:p>
    <w:bookmarkEnd w:id="111"/>
    <w:bookmarkStart w:id="112"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2"/>
    <w:bookmarkStart w:id="114"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3">
        <w:r>
          <w:rPr>
            <w:rStyle w:val="Hyperlink"/>
          </w:rPr>
          <w:t xml:space="preserve">https://doi.org/10.1080/10705519909540118</w:t>
        </w:r>
      </w:hyperlink>
    </w:p>
    <w:bookmarkEnd w:id="114"/>
    <w:bookmarkStart w:id="116"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5">
        <w:r>
          <w:rPr>
            <w:rStyle w:val="Hyperlink"/>
          </w:rPr>
          <w:t xml:space="preserve">https://doi.org/10.1177/1948550617703174</w:t>
        </w:r>
      </w:hyperlink>
    </w:p>
    <w:bookmarkEnd w:id="116"/>
    <w:bookmarkStart w:id="118" w:name="ref-kievit_2022"/>
    <w:p>
      <w:pPr>
        <w:pStyle w:val="Bibliography"/>
      </w:pPr>
      <w:r>
        <w:t xml:space="preserve">Kievit, R. A., McCormick, E. M., Fuhrmann, D., Deserno, M. K., &amp; Orben, A. (2022). Using large, publicly available data sets to study adolescent development:</w:t>
      </w:r>
      <w:r>
        <w:t xml:space="preserve"> </w:t>
      </w:r>
      <w:r>
        <w:t xml:space="preserve">Opportunities</w:t>
      </w:r>
      <w:r>
        <w:t xml:space="preserve"> </w:t>
      </w:r>
      <w:r>
        <w:t xml:space="preserve">and challenges.</w:t>
      </w:r>
      <w:r>
        <w:t xml:space="preserve"> </w:t>
      </w:r>
      <w:r>
        <w:rPr>
          <w:iCs/>
          <w:i/>
        </w:rPr>
        <w:t xml:space="preserve">Current Opinion in Psychology</w:t>
      </w:r>
      <w:r>
        <w:t xml:space="preserve">,</w:t>
      </w:r>
      <w:r>
        <w:t xml:space="preserve"> </w:t>
      </w:r>
      <w:r>
        <w:rPr>
          <w:iCs/>
          <w:i/>
        </w:rPr>
        <w:t xml:space="preserve">44</w:t>
      </w:r>
      <w:r>
        <w:t xml:space="preserve">, 303–308.</w:t>
      </w:r>
      <w:r>
        <w:t xml:space="preserve"> </w:t>
      </w:r>
      <w:hyperlink r:id="rId117">
        <w:r>
          <w:rPr>
            <w:rStyle w:val="Hyperlink"/>
          </w:rPr>
          <w:t xml:space="preserve">https://doi.org/10.1016/j.copsyc.2021.10.003</w:t>
        </w:r>
      </w:hyperlink>
    </w:p>
    <w:bookmarkEnd w:id="118"/>
    <w:bookmarkStart w:id="120"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9">
        <w:r>
          <w:rPr>
            <w:rStyle w:val="Hyperlink"/>
          </w:rPr>
          <w:t xml:space="preserve">https://doi.org/10.1037/xge0000774</w:t>
        </w:r>
      </w:hyperlink>
    </w:p>
    <w:bookmarkEnd w:id="120"/>
    <w:bookmarkStart w:id="122"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21">
        <w:r>
          <w:rPr>
            <w:rStyle w:val="Hyperlink"/>
          </w:rPr>
          <w:t xml:space="preserve">https://doi.org/10.31234/osf.io/xvdyz</w:t>
        </w:r>
      </w:hyperlink>
    </w:p>
    <w:bookmarkEnd w:id="122"/>
    <w:bookmarkStart w:id="124"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3">
        <w:r>
          <w:rPr>
            <w:rStyle w:val="Hyperlink"/>
          </w:rPr>
          <w:t xml:space="preserve">https://doi.org/10.1016/j.dcn.2018.02.006</w:t>
        </w:r>
      </w:hyperlink>
    </w:p>
    <w:bookmarkEnd w:id="124"/>
    <w:bookmarkStart w:id="126" w:name="ref-mashburn_2023"/>
    <w:p>
      <w:pPr>
        <w:pStyle w:val="Bibliography"/>
      </w:pPr>
      <w:r>
        <w:t xml:space="preserve">Mashburn, C. A., Barnett, M. K., &amp; Engle, R. W. (2023). Processing speed and executive attention as causes of intelligence.</w:t>
      </w:r>
      <w:r>
        <w:t xml:space="preserve"> </w:t>
      </w:r>
      <w:r>
        <w:rPr>
          <w:iCs/>
          <w:i/>
        </w:rPr>
        <w:t xml:space="preserve">Psychological Review</w:t>
      </w:r>
      <w:r>
        <w:t xml:space="preserve">.</w:t>
      </w:r>
      <w:r>
        <w:t xml:space="preserve"> </w:t>
      </w:r>
      <w:hyperlink r:id="rId125">
        <w:r>
          <w:rPr>
            <w:rStyle w:val="Hyperlink"/>
          </w:rPr>
          <w:t xml:space="preserve">https://doi.org/10.1037/rev0000439</w:t>
        </w:r>
      </w:hyperlink>
    </w:p>
    <w:bookmarkEnd w:id="126"/>
    <w:bookmarkStart w:id="128"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27">
        <w:r>
          <w:rPr>
            <w:rStyle w:val="Hyperlink"/>
          </w:rPr>
          <w:t xml:space="preserve">https://doi.org/10.1177/1745691621992346</w:t>
        </w:r>
      </w:hyperlink>
    </w:p>
    <w:bookmarkEnd w:id="128"/>
    <w:bookmarkStart w:id="130"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9">
        <w:r>
          <w:rPr>
            <w:rStyle w:val="Hyperlink"/>
          </w:rPr>
          <w:t xml:space="preserve">https://doi.org/10.1111/j.1467-8624.2004.00746.x</w:t>
        </w:r>
      </w:hyperlink>
    </w:p>
    <w:bookmarkEnd w:id="130"/>
    <w:bookmarkStart w:id="132" w:name="ref-miller_cotto_2022"/>
    <w:p>
      <w:pPr>
        <w:pStyle w:val="Bibliography"/>
      </w:pPr>
      <w:r>
        <w:t xml:space="preserve">Miller-Cotto, D., Smith, L. V., Wang, A. H., &amp; Ribner, A. D. (2022). Changing the conversation:</w:t>
      </w:r>
      <w:r>
        <w:t xml:space="preserve"> </w:t>
      </w:r>
      <w:r>
        <w:t xml:space="preserve">A</w:t>
      </w:r>
      <w:r>
        <w:t xml:space="preserve"> </w:t>
      </w:r>
      <w:r>
        <w:t xml:space="preserve">culturally responsive perspective on executive functions, minoritized children and their families.</w:t>
      </w:r>
      <w:r>
        <w:t xml:space="preserve"> </w:t>
      </w:r>
      <w:r>
        <w:rPr>
          <w:iCs/>
          <w:i/>
        </w:rPr>
        <w:t xml:space="preserve">Infant and Child Development</w:t>
      </w:r>
      <w:r>
        <w:t xml:space="preserve">,</w:t>
      </w:r>
      <w:r>
        <w:t xml:space="preserve"> </w:t>
      </w:r>
      <w:r>
        <w:rPr>
          <w:iCs/>
          <w:i/>
        </w:rPr>
        <w:t xml:space="preserve">31</w:t>
      </w:r>
      <w:r>
        <w:t xml:space="preserve">(1), e2286.</w:t>
      </w:r>
      <w:r>
        <w:t xml:space="preserve"> </w:t>
      </w:r>
      <w:hyperlink r:id="rId131">
        <w:r>
          <w:rPr>
            <w:rStyle w:val="Hyperlink"/>
          </w:rPr>
          <w:t xml:space="preserve">https://doi.org/10.1002/icd.2286</w:t>
        </w:r>
      </w:hyperlink>
    </w:p>
    <w:bookmarkEnd w:id="132"/>
    <w:bookmarkStart w:id="13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33">
        <w:r>
          <w:rPr>
            <w:rStyle w:val="Hyperlink"/>
          </w:rPr>
          <w:t xml:space="preserve">https://doi.org/10.1037/pspi0000028</w:t>
        </w:r>
      </w:hyperlink>
    </w:p>
    <w:bookmarkEnd w:id="134"/>
    <w:bookmarkStart w:id="135"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5"/>
    <w:bookmarkStart w:id="137" w:name="ref-muskens_2019"/>
    <w:p>
      <w:pPr>
        <w:pStyle w:val="Bibliography"/>
      </w:pPr>
      <w:r>
        <w:t xml:space="preserve">Muskens, M. M. E.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36">
        <w:r>
          <w:rPr>
            <w:rStyle w:val="Hyperlink"/>
          </w:rPr>
          <w:t xml:space="preserve">https://doi.org/10.26481/dis.20191115mm</w:t>
        </w:r>
      </w:hyperlink>
    </w:p>
    <w:bookmarkEnd w:id="137"/>
    <w:bookmarkStart w:id="139" w:name="ref-niebaum_2023"/>
    <w:p>
      <w:pPr>
        <w:pStyle w:val="Bibliography"/>
      </w:pPr>
      <w:r>
        <w:t xml:space="preserve">Niebaum, J. C., &amp; Munakata, Y. (2023). Why</w:t>
      </w:r>
      <w:r>
        <w:t xml:space="preserve"> </w:t>
      </w:r>
      <w:r>
        <w:t xml:space="preserve">Doesn</w:t>
      </w:r>
      <w:r>
        <w:t xml:space="preserve">’t</w:t>
      </w:r>
      <w:r>
        <w:t xml:space="preserve"> </w:t>
      </w:r>
      <w:r>
        <w:t xml:space="preserve">Executive</w:t>
      </w:r>
      <w:r>
        <w:t xml:space="preserve"> </w:t>
      </w:r>
      <w:r>
        <w:t xml:space="preserve">function training improve academic achievement? Rethinking individual differences, relevance, and engagement from a contextual framework.</w:t>
      </w:r>
      <w:r>
        <w:t xml:space="preserve"> </w:t>
      </w:r>
      <w:r>
        <w:rPr>
          <w:iCs/>
          <w:i/>
        </w:rPr>
        <w:t xml:space="preserve">Journal of Cognition and Development</w:t>
      </w:r>
      <w:r>
        <w:t xml:space="preserve">,</w:t>
      </w:r>
      <w:r>
        <w:t xml:space="preserve"> </w:t>
      </w:r>
      <w:r>
        <w:rPr>
          <w:iCs/>
          <w:i/>
        </w:rPr>
        <w:t xml:space="preserve">24</w:t>
      </w:r>
      <w:r>
        <w:t xml:space="preserve">(2), 241–259.</w:t>
      </w:r>
      <w:r>
        <w:t xml:space="preserve"> </w:t>
      </w:r>
      <w:hyperlink r:id="rId138">
        <w:r>
          <w:rPr>
            <w:rStyle w:val="Hyperlink"/>
          </w:rPr>
          <w:t xml:space="preserve">https://doi.org/10.1080/15248372.2022.2160723</w:t>
        </w:r>
      </w:hyperlink>
    </w:p>
    <w:bookmarkEnd w:id="139"/>
    <w:bookmarkStart w:id="141" w:name="ref-nketia_2023"/>
    <w:p>
      <w:pPr>
        <w:pStyle w:val="Bibliography"/>
      </w:pPr>
      <w:r>
        <w:t xml:space="preserve">Nketia, J., Al Sager, A., Dajani, R., Placido, D., &amp; Amso, D. (2023). Executive functions in</w:t>
      </w:r>
      <w:r>
        <w:t xml:space="preserve"> </w:t>
      </w:r>
      <w:r>
        <w:t xml:space="preserve">Jordanian</w:t>
      </w:r>
      <w:r>
        <w:t xml:space="preserve"> </w:t>
      </w:r>
      <w:r>
        <w:t xml:space="preserve">children:</w:t>
      </w:r>
      <w:r>
        <w:t xml:space="preserve"> </w:t>
      </w:r>
      <w:r>
        <w:t xml:space="preserve">What</w:t>
      </w:r>
      <w:r>
        <w:t xml:space="preserve"> </w:t>
      </w:r>
      <w:r>
        <w:t xml:space="preserve">can the</w:t>
      </w:r>
      <w:r>
        <w:t xml:space="preserve"> </w:t>
      </w:r>
      <w:r>
        <w:t xml:space="preserve">Hearts</w:t>
      </w:r>
      <w:r>
        <w:t xml:space="preserve"> </w:t>
      </w:r>
      <w:r>
        <w:t xml:space="preserve">and</w:t>
      </w:r>
      <w:r>
        <w:t xml:space="preserve"> </w:t>
      </w:r>
      <w:r>
        <w:t xml:space="preserve">Flowers</w:t>
      </w:r>
      <w:r>
        <w:t xml:space="preserve"> </w:t>
      </w:r>
      <w:r>
        <w:t xml:space="preserve">Task</w:t>
      </w:r>
      <w:r>
        <w:t xml:space="preserve"> </w:t>
      </w:r>
      <w:r>
        <w:t xml:space="preserve">tell us about development in a non-</w:t>
      </w:r>
      <w:r>
        <w:t xml:space="preserve">Western</w:t>
      </w:r>
      <w:r>
        <w:t xml:space="preserve"> </w:t>
      </w:r>
      <w:r>
        <w:t xml:space="preserve">context.</w:t>
      </w:r>
      <w:r>
        <w:t xml:space="preserve"> </w:t>
      </w:r>
      <w:r>
        <w:rPr>
          <w:iCs/>
          <w:i/>
        </w:rPr>
        <w:t xml:space="preserve">Journal of Cognition and Development</w:t>
      </w:r>
      <w:r>
        <w:t xml:space="preserve">,</w:t>
      </w:r>
      <w:r>
        <w:t xml:space="preserve"> </w:t>
      </w:r>
      <w:r>
        <w:rPr>
          <w:iCs/>
          <w:i/>
        </w:rPr>
        <w:t xml:space="preserve">0</w:t>
      </w:r>
      <w:r>
        <w:t xml:space="preserve">(0), 1–21.</w:t>
      </w:r>
      <w:r>
        <w:t xml:space="preserve"> </w:t>
      </w:r>
      <w:hyperlink r:id="rId140">
        <w:r>
          <w:rPr>
            <w:rStyle w:val="Hyperlink"/>
          </w:rPr>
          <w:t xml:space="preserve">https://doi.org/10.1080/15248372.2023.2248698</w:t>
        </w:r>
      </w:hyperlink>
    </w:p>
    <w:bookmarkEnd w:id="141"/>
    <w:bookmarkStart w:id="143"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42">
        <w:r>
          <w:rPr>
            <w:rStyle w:val="Hyperlink"/>
          </w:rPr>
          <w:t xml:space="preserve">https://doi.org/10.1111/j.1467-7687.2005.00394.x</w:t>
        </w:r>
      </w:hyperlink>
    </w:p>
    <w:bookmarkEnd w:id="143"/>
    <w:bookmarkStart w:id="145"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44">
        <w:r>
          <w:rPr>
            <w:rStyle w:val="Hyperlink"/>
          </w:rPr>
          <w:t xml:space="preserve">https://doi.org/10.1111/jcpp.13241</w:t>
        </w:r>
      </w:hyperlink>
    </w:p>
    <w:bookmarkEnd w:id="145"/>
    <w:bookmarkStart w:id="147"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46">
        <w:r>
          <w:rPr>
            <w:rStyle w:val="Hyperlink"/>
          </w:rPr>
          <w:t xml:space="preserve">https://doi.org/10.18637/jss.v057.i01</w:t>
        </w:r>
      </w:hyperlink>
    </w:p>
    <w:bookmarkEnd w:id="147"/>
    <w:bookmarkStart w:id="149"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48">
        <w:r>
          <w:rPr>
            <w:rStyle w:val="Hyperlink"/>
          </w:rPr>
          <w:t xml:space="preserve">https://doi.org/10.1111/j.1467-8721.2008.00608.x</w:t>
        </w:r>
      </w:hyperlink>
    </w:p>
    <w:bookmarkEnd w:id="149"/>
    <w:bookmarkStart w:id="15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0">
        <w:r>
          <w:rPr>
            <w:rStyle w:val="Hyperlink"/>
          </w:rPr>
          <w:t xml:space="preserve">https://doi.org/10.1162/neco.2008.12-06-420</w:t>
        </w:r>
      </w:hyperlink>
    </w:p>
    <w:bookmarkEnd w:id="151"/>
    <w:bookmarkStart w:id="15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52">
        <w:r>
          <w:rPr>
            <w:rStyle w:val="Hyperlink"/>
          </w:rPr>
          <w:t xml:space="preserve">https://doi.org/10.1111/1467-9280.00067</w:t>
        </w:r>
      </w:hyperlink>
    </w:p>
    <w:bookmarkEnd w:id="153"/>
    <w:bookmarkStart w:id="155"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54">
        <w:r>
          <w:rPr>
            <w:rStyle w:val="Hyperlink"/>
          </w:rPr>
          <w:t xml:space="preserve">https://doi.org/10.18637/jss.v048.i02</w:t>
        </w:r>
      </w:hyperlink>
    </w:p>
    <w:bookmarkEnd w:id="155"/>
    <w:bookmarkStart w:id="157"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56">
        <w:r>
          <w:rPr>
            <w:rStyle w:val="Hyperlink"/>
          </w:rPr>
          <w:t xml:space="preserve">https://doi.org/10.1016/j.jaac.2020.02.016</w:t>
        </w:r>
      </w:hyperlink>
    </w:p>
    <w:bookmarkEnd w:id="157"/>
    <w:bookmarkStart w:id="159"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58">
        <w:r>
          <w:rPr>
            <w:rStyle w:val="Hyperlink"/>
          </w:rPr>
          <w:t xml:space="preserve">https://doi.org/10.1111/desc.13267</w:t>
        </w:r>
      </w:hyperlink>
    </w:p>
    <w:bookmarkEnd w:id="159"/>
    <w:bookmarkStart w:id="161"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60">
        <w:r>
          <w:rPr>
            <w:rStyle w:val="Hyperlink"/>
          </w:rPr>
          <w:t xml:space="preserve">https://doi.org/10.1037/0096-3445.136.3.414</w:t>
        </w:r>
      </w:hyperlink>
    </w:p>
    <w:bookmarkEnd w:id="161"/>
    <w:bookmarkStart w:id="163" w:name="ref-schubert_2020"/>
    <w:p>
      <w:pPr>
        <w:pStyle w:val="Bibliography"/>
      </w:pPr>
      <w:r>
        <w:t xml:space="preserve">Schubert, A.-L., &amp; Frischkorn, G. T. (2020). Neurocognitive</w:t>
      </w:r>
      <w:r>
        <w:t xml:space="preserve"> </w:t>
      </w:r>
      <w:r>
        <w:t xml:space="preserve">Psychometrics</w:t>
      </w:r>
      <w:r>
        <w:t xml:space="preserve"> </w:t>
      </w:r>
      <w:r>
        <w:t xml:space="preserve">of</w:t>
      </w:r>
      <w:r>
        <w:t xml:space="preserve"> </w:t>
      </w:r>
      <w:r>
        <w:t xml:space="preserve">Intelligence</w:t>
      </w:r>
      <w:r>
        <w:t xml:space="preserve">:</w:t>
      </w:r>
      <w:r>
        <w:t xml:space="preserve"> </w:t>
      </w:r>
      <w:r>
        <w:t xml:space="preserve">How</w:t>
      </w:r>
      <w:r>
        <w:t xml:space="preserve"> </w:t>
      </w:r>
      <w:r>
        <w:t xml:space="preserve">Measurement</w:t>
      </w:r>
      <w:r>
        <w:t xml:space="preserve"> </w:t>
      </w:r>
      <w:r>
        <w:t xml:space="preserve">Advancements</w:t>
      </w:r>
      <w:r>
        <w:t xml:space="preserve"> </w:t>
      </w:r>
      <w:r>
        <w:t xml:space="preserve">Unveiled</w:t>
      </w:r>
      <w:r>
        <w:t xml:space="preserve"> </w:t>
      </w:r>
      <w:r>
        <w:t xml:space="preserve">the</w:t>
      </w:r>
      <w:r>
        <w:t xml:space="preserve"> </w:t>
      </w:r>
      <w:r>
        <w:t xml:space="preserve">Role</w:t>
      </w:r>
      <w:r>
        <w:t xml:space="preserve"> </w:t>
      </w:r>
      <w:r>
        <w:t xml:space="preserve">of</w:t>
      </w:r>
      <w:r>
        <w:t xml:space="preserve"> </w:t>
      </w:r>
      <w:r>
        <w:t xml:space="preserve">Mental</w:t>
      </w:r>
      <w:r>
        <w:t xml:space="preserve"> </w:t>
      </w:r>
      <w:r>
        <w:t xml:space="preserve">Speed</w:t>
      </w:r>
      <w:r>
        <w:t xml:space="preserve"> </w:t>
      </w:r>
      <w:r>
        <w:t xml:space="preserve">in</w:t>
      </w:r>
      <w:r>
        <w:t xml:space="preserve"> </w:t>
      </w:r>
      <w:r>
        <w:t xml:space="preserve">Intelligence</w:t>
      </w:r>
      <w:r>
        <w:t xml:space="preserve"> </w:t>
      </w:r>
      <w:r>
        <w:t xml:space="preserve">Differences</w:t>
      </w:r>
      <w:r>
        <w:t xml:space="preserve">.</w:t>
      </w:r>
      <w:r>
        <w:t xml:space="preserve"> </w:t>
      </w:r>
      <w:r>
        <w:rPr>
          <w:iCs/>
          <w:i/>
        </w:rPr>
        <w:t xml:space="preserve">Current Directions in Psychological Science</w:t>
      </w:r>
      <w:r>
        <w:t xml:space="preserve">,</w:t>
      </w:r>
      <w:r>
        <w:t xml:space="preserve"> </w:t>
      </w:r>
      <w:r>
        <w:rPr>
          <w:iCs/>
          <w:i/>
        </w:rPr>
        <w:t xml:space="preserve">29</w:t>
      </w:r>
      <w:r>
        <w:t xml:space="preserve">(2), 140–146.</w:t>
      </w:r>
      <w:r>
        <w:t xml:space="preserve"> </w:t>
      </w:r>
      <w:hyperlink r:id="rId162">
        <w:r>
          <w:rPr>
            <w:rStyle w:val="Hyperlink"/>
          </w:rPr>
          <w:t xml:space="preserve">https://doi.org/10.1177/0963721419896365</w:t>
        </w:r>
      </w:hyperlink>
    </w:p>
    <w:bookmarkEnd w:id="163"/>
    <w:bookmarkStart w:id="165"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64">
        <w:r>
          <w:rPr>
            <w:rStyle w:val="Hyperlink"/>
          </w:rPr>
          <w:t xml:space="preserve">https://doi.org/10.1016/j.tics.2014.09.001</w:t>
        </w:r>
      </w:hyperlink>
    </w:p>
    <w:bookmarkEnd w:id="165"/>
    <w:bookmarkStart w:id="167"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66">
        <w:r>
          <w:rPr>
            <w:rStyle w:val="Hyperlink"/>
          </w:rPr>
          <w:t xml:space="preserve">https://doi.org/10.1126/sciadv.abn4316</w:t>
        </w:r>
      </w:hyperlink>
    </w:p>
    <w:bookmarkEnd w:id="167"/>
    <w:bookmarkStart w:id="169"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68">
        <w:r>
          <w:rPr>
            <w:rStyle w:val="Hyperlink"/>
          </w:rPr>
          <w:t xml:space="preserve">https://doi.org/10.1111/desc.12934</w:t>
        </w:r>
      </w:hyperlink>
    </w:p>
    <w:bookmarkEnd w:id="169"/>
    <w:bookmarkStart w:id="170"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70"/>
    <w:bookmarkStart w:id="172"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71">
        <w:r>
          <w:rPr>
            <w:rStyle w:val="Hyperlink"/>
          </w:rPr>
          <w:t xml:space="preserve">https://www.R-project.org/</w:t>
        </w:r>
      </w:hyperlink>
    </w:p>
    <w:bookmarkEnd w:id="172"/>
    <w:bookmarkStart w:id="174"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73">
        <w:r>
          <w:rPr>
            <w:rStyle w:val="Hyperlink"/>
          </w:rPr>
          <w:t xml:space="preserve">https://doi.org/10.1017/S0033291715002020</w:t>
        </w:r>
      </w:hyperlink>
    </w:p>
    <w:bookmarkEnd w:id="174"/>
    <w:bookmarkStart w:id="176"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75">
        <w:r>
          <w:rPr>
            <w:rStyle w:val="Hyperlink"/>
          </w:rPr>
          <w:t xml:space="preserve">https://doi.org/10.1037/a0021765</w:t>
        </w:r>
      </w:hyperlink>
    </w:p>
    <w:bookmarkEnd w:id="176"/>
    <w:bookmarkStart w:id="178"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77">
        <w:r>
          <w:rPr>
            <w:rStyle w:val="Hyperlink"/>
          </w:rPr>
          <w:t xml:space="preserve">https://doi.org/10.1027/1618-3169/a000218</w:t>
        </w:r>
      </w:hyperlink>
    </w:p>
    <w:bookmarkEnd w:id="178"/>
    <w:bookmarkStart w:id="180"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79">
        <w:r>
          <w:rPr>
            <w:rStyle w:val="Hyperlink"/>
          </w:rPr>
          <w:t xml:space="preserve">https://doi.org/10.3758/BF03196893</w:t>
        </w:r>
      </w:hyperlink>
    </w:p>
    <w:bookmarkEnd w:id="180"/>
    <w:bookmarkStart w:id="182"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1">
        <w:r>
          <w:rPr>
            <w:rStyle w:val="Hyperlink"/>
          </w:rPr>
          <w:t xml:space="preserve">https://doi.org/10.1080/09541440802205067</w:t>
        </w:r>
      </w:hyperlink>
    </w:p>
    <w:bookmarkEnd w:id="182"/>
    <w:bookmarkStart w:id="184"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83">
        <w:r>
          <w:rPr>
            <w:rStyle w:val="Hyperlink"/>
          </w:rPr>
          <w:t xml:space="preserve">https://doi.org/10.3389/fninf.2013.00014</w:t>
        </w:r>
      </w:hyperlink>
    </w:p>
    <w:bookmarkEnd w:id="184"/>
    <w:bookmarkStart w:id="186"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85">
        <w:r>
          <w:rPr>
            <w:rStyle w:val="Hyperlink"/>
          </w:rPr>
          <w:t xml:space="preserve">https://doi.org/10.1111/cdev.13766</w:t>
        </w:r>
      </w:hyperlink>
    </w:p>
    <w:bookmarkEnd w:id="186"/>
    <w:bookmarkStart w:id="187" w:name="ref-young_2023"/>
    <w:p>
      <w:pPr>
        <w:pStyle w:val="Bibliography"/>
      </w:pPr>
      <w:r>
        <w:t xml:space="preserve">Young, E. S., Vermeent, S., Frankenhuis, W. E., Nivison, M., Simpson, J. A., &amp; Roisman, G. I. (n.d.).</w:t>
      </w:r>
      <w:r>
        <w:t xml:space="preserve"> </w:t>
      </w:r>
      <w:r>
        <w:rPr>
          <w:iCs/>
          <w:i/>
        </w:rPr>
        <w:t xml:space="preserve">How does adversity shape performance across different abilities in the same person?</w:t>
      </w:r>
    </w:p>
    <w:bookmarkEnd w:id="187"/>
    <w:bookmarkStart w:id="189"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88">
        <w:r>
          <w:rPr>
            <w:rStyle w:val="Hyperlink"/>
          </w:rPr>
          <w:t xml:space="preserve">https://doi.org/10.1038/nprot.2006.46</w:t>
        </w:r>
      </w:hyperlink>
    </w:p>
    <w:bookmarkEnd w:id="189"/>
    <w:bookmarkStart w:id="191"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90">
        <w:r>
          <w:rPr>
            <w:rStyle w:val="Hyperlink"/>
          </w:rPr>
          <w:t xml:space="preserve">https://doi.org/10.1017/S1355617714000472</w:t>
        </w:r>
      </w:hyperlink>
    </w:p>
    <w:bookmarkEnd w:id="191"/>
    <w:bookmarkStart w:id="193" w:name="ref-zelazo_2023"/>
    <w:p>
      <w:pPr>
        <w:pStyle w:val="Bibliography"/>
      </w:pPr>
      <w:r>
        <w:t xml:space="preserve">Zelazo, P. D., &amp; Carlson, S. M. (2023). Reconciling the</w:t>
      </w:r>
      <w:r>
        <w:t xml:space="preserve"> </w:t>
      </w:r>
      <w:r>
        <w:t xml:space="preserve">Context</w:t>
      </w:r>
      <w:r>
        <w:t xml:space="preserve">-</w:t>
      </w:r>
      <w:r>
        <w:t xml:space="preserve">Dependency</w:t>
      </w:r>
      <w:r>
        <w:t xml:space="preserve"> </w:t>
      </w:r>
      <w:r>
        <w:t xml:space="preserve">and</w:t>
      </w:r>
      <w:r>
        <w:t xml:space="preserve"> </w:t>
      </w:r>
      <w:r>
        <w:t xml:space="preserve">Domain</w:t>
      </w:r>
      <w:r>
        <w:t xml:space="preserve">-</w:t>
      </w:r>
      <w:r>
        <w:t xml:space="preserve">Generality</w:t>
      </w:r>
      <w:r>
        <w:t xml:space="preserve"> </w:t>
      </w:r>
      <w:r>
        <w:t xml:space="preserve">of</w:t>
      </w:r>
      <w:r>
        <w:t xml:space="preserve"> </w:t>
      </w:r>
      <w:r>
        <w:t xml:space="preserve">Executive</w:t>
      </w:r>
      <w:r>
        <w:t xml:space="preserve"> </w:t>
      </w:r>
      <w:r>
        <w:t xml:space="preserve">Function</w:t>
      </w:r>
      <w:r>
        <w:t xml:space="preserve"> </w:t>
      </w:r>
      <w:r>
        <w:t xml:space="preserve">Skills</w:t>
      </w:r>
      <w:r>
        <w:t xml:space="preserve"> </w:t>
      </w:r>
      <w:r>
        <w:t xml:space="preserve">from a</w:t>
      </w:r>
      <w:r>
        <w:t xml:space="preserve"> </w:t>
      </w:r>
      <w:r>
        <w:t xml:space="preserve">Developmental</w:t>
      </w:r>
      <w:r>
        <w:t xml:space="preserve"> </w:t>
      </w:r>
      <w:r>
        <w:t xml:space="preserve">Systems</w:t>
      </w:r>
      <w:r>
        <w:t xml:space="preserve"> </w:t>
      </w:r>
      <w:r>
        <w:t xml:space="preserve">Perspective</w:t>
      </w:r>
      <w:r>
        <w:t xml:space="preserve">.</w:t>
      </w:r>
      <w:r>
        <w:t xml:space="preserve"> </w:t>
      </w:r>
      <w:r>
        <w:rPr>
          <w:iCs/>
          <w:i/>
        </w:rPr>
        <w:t xml:space="preserve">Journal of Cognition and Development</w:t>
      </w:r>
      <w:r>
        <w:t xml:space="preserve">,</w:t>
      </w:r>
      <w:r>
        <w:t xml:space="preserve"> </w:t>
      </w:r>
      <w:r>
        <w:rPr>
          <w:iCs/>
          <w:i/>
        </w:rPr>
        <w:t xml:space="preserve">24</w:t>
      </w:r>
      <w:r>
        <w:t xml:space="preserve">(2), 205–222.</w:t>
      </w:r>
      <w:r>
        <w:t xml:space="preserve"> </w:t>
      </w:r>
      <w:hyperlink r:id="rId192">
        <w:r>
          <w:rPr>
            <w:rStyle w:val="Hyperlink"/>
          </w:rPr>
          <w:t xml:space="preserve">https://doi.org/10.1080/15248372.2022.2156515</w:t>
        </w:r>
      </w:hyperlink>
    </w:p>
    <w:bookmarkEnd w:id="193"/>
    <w:bookmarkStart w:id="195"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94">
        <w:r>
          <w:rPr>
            <w:rStyle w:val="Hyperlink"/>
          </w:rPr>
          <w:t xml:space="preserve">https://doi.org/10.1016/j.dcn.2018.03.004</w:t>
        </w:r>
      </w:hyperlink>
    </w:p>
    <w:bookmarkEnd w:id="195"/>
    <w:bookmarkStart w:id="197" w:name="ref-zuilkowski_2016"/>
    <w:p>
      <w:pPr>
        <w:pStyle w:val="Bibliography"/>
      </w:pPr>
      <w:r>
        <w:t xml:space="preserve">Zuilkowski, S. S., McCoy, D. C., Serpell, R., Matafwali, B., &amp; Fink, G. (2016). Dimensionality and the development of cognitive assessments for children in</w:t>
      </w:r>
      <w:r>
        <w:t xml:space="preserve"> </w:t>
      </w:r>
      <w:r>
        <w:t xml:space="preserve">Sub</w:t>
      </w:r>
      <w:r>
        <w:t xml:space="preserve">-</w:t>
      </w:r>
      <w:r>
        <w:t xml:space="preserve">Saharan</w:t>
      </w:r>
      <w:r>
        <w:t xml:space="preserve"> </w:t>
      </w:r>
      <w:r>
        <w:t xml:space="preserve">Africa</w:t>
      </w:r>
      <w:r>
        <w:t xml:space="preserve">.</w:t>
      </w:r>
      <w:r>
        <w:t xml:space="preserve"> </w:t>
      </w:r>
      <w:r>
        <w:rPr>
          <w:iCs/>
          <w:i/>
        </w:rPr>
        <w:t xml:space="preserve">Journal of Cross-Cultural Psychology</w:t>
      </w:r>
      <w:r>
        <w:t xml:space="preserve">,</w:t>
      </w:r>
      <w:r>
        <w:t xml:space="preserve"> </w:t>
      </w:r>
      <w:r>
        <w:rPr>
          <w:iCs/>
          <w:i/>
        </w:rPr>
        <w:t xml:space="preserve">47</w:t>
      </w:r>
      <w:r>
        <w:t xml:space="preserve">(3), 341–354.</w:t>
      </w:r>
      <w:r>
        <w:t xml:space="preserve"> </w:t>
      </w:r>
      <w:hyperlink r:id="rId196">
        <w:r>
          <w:rPr>
            <w:rStyle w:val="Hyperlink"/>
          </w:rPr>
          <w:t xml:space="preserve">https://doi.org/10.1177/0022022115624155</w:t>
        </w:r>
      </w:hyperlink>
    </w:p>
    <w:bookmarkEnd w:id="197"/>
    <w:bookmarkEnd w:id="198"/>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322"/>
        <w:gridCol w:w="1053"/>
        <w:gridCol w:w="1053"/>
      </w:tblGrid>
      <w:tr>
        <w:trPr>
          <w:trHeight w:val="383" w:hRule="auto"/>
          <w:tblHeader/>
        </w:trPr>
        header 1
        <w:tc>
          <w:tcPr>
            <w:gridSpan w:val="3"/>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Descriptive statistics for the training and test set.</w:t>
            </w:r>
          </w:p>
        </w:tc>
      </w:tr>
      <w:tr>
        <w:trPr>
          <w:trHeight w:val="383"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Test</w:t>
            </w:r>
          </w:p>
        </w:tc>
      </w:tr>
      <w:tr>
        <w:trPr>
          <w:trHeight w:val="34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9063</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Age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119 (7.4)</w:t>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Parent highest education in years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20.3 (2.4)</w:t>
            </w:r>
          </w:p>
        </w:tc>
      </w:tr>
      <w:tr>
        <w:trPr>
          <w:trHeight w:val="34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White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55.6</w:t>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Black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Hispanic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15.6</w:t>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Other (mixed, Asian, AIAN, NHPI)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r>
      <w:tr>
        <w:trPr>
          <w:trHeight w:val="385" w:hRule="auto"/>
        </w:trPr>
        body10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Income-to-needs (Mean (SD))</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 (2.4)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 (2.4)</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200" name="Picture"/>
                  <a:graphic>
                    <a:graphicData uri="http://schemas.openxmlformats.org/drawingml/2006/picture">
                      <pic:pic>
                        <pic:nvPicPr>
                          <pic:cNvPr descr="images/fig1.png" id="201" name="Picture"/>
                          <pic:cNvPicPr>
                            <a:picLocks noChangeArrowheads="1" noChangeAspect="1"/>
                          </pic:cNvPicPr>
                        </pic:nvPicPr>
                        <pic:blipFill>
                          <a:blip r:embed="rId199"/>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203" name="Picture"/>
                  <a:graphic>
                    <a:graphicData uri="http://schemas.openxmlformats.org/drawingml/2006/picture">
                      <pic:pic>
                        <pic:nvPicPr>
                          <pic:cNvPr descr="images/fig2.png" id="204" name="Picture"/>
                          <pic:cNvPicPr>
                            <a:picLocks noChangeArrowheads="1" noChangeAspect="1"/>
                          </pic:cNvPicPr>
                        </pic:nvPicPr>
                        <pic:blipFill>
                          <a:blip r:embed="rId202"/>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220511"/>
                  <wp:effectExtent b="0" l="0" r="0" t="0"/>
                  <wp:docPr descr="" title="" id="206" name="Picture"/>
                  <a:graphic>
                    <a:graphicData uri="http://schemas.openxmlformats.org/drawingml/2006/picture">
                      <pic:pic>
                        <pic:nvPicPr>
                          <pic:cNvPr descr="images/fig3.png" id="207" name="Picture"/>
                          <pic:cNvPicPr>
                            <a:picLocks noChangeArrowheads="1" noChangeAspect="1"/>
                          </pic:cNvPicPr>
                        </pic:nvPicPr>
                        <pic:blipFill>
                          <a:blip r:embed="rId205"/>
                          <a:stretch>
                            <a:fillRect/>
                          </a:stretch>
                        </pic:blipFill>
                        <pic:spPr bwMode="auto">
                          <a:xfrm>
                            <a:off x="0" y="0"/>
                            <a:ext cx="5943600" cy="222051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Elipses represent task-general factors. Circles represent task-specific (residual) variances. Dotted black lines represent covariances. Dashed black lines represent factor loadings. Solid grey lines represent regression paths. The factor loadings to each of the Processing Speed Task indicators are fixed to 1. The factor loadings of the task-specific factors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(2) covariances between the task-general factors and the task-specific factors within each task. PS = Processing Speed Task; AS = Attention Shifting Task; MR = Mental Rotation Task; Inh = Inhibition Task;</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992581"/>
                  <wp:effectExtent b="0" l="0" r="0" t="0"/>
                  <wp:docPr descr="" title="" id="209" name="Picture"/>
                  <a:graphic>
                    <a:graphicData uri="http://schemas.openxmlformats.org/drawingml/2006/picture">
                      <pic:pic>
                        <pic:nvPicPr>
                          <pic:cNvPr descr="images/fig4.png" id="210" name="Picture"/>
                          <pic:cNvPicPr>
                            <a:picLocks noChangeArrowheads="1" noChangeAspect="1"/>
                          </pic:cNvPicPr>
                        </pic:nvPicPr>
                        <pic:blipFill>
                          <a:blip r:embed="rId208"/>
                          <a:stretch>
                            <a:fillRect/>
                          </a:stretch>
                        </pic:blipFill>
                        <pic:spPr bwMode="auto">
                          <a:xfrm>
                            <a:off x="0" y="0"/>
                            <a:ext cx="5486400" cy="299258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elipses represent latent task-general factors. The circles represent latent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Inh = Inhibition Task.</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5908430"/>
                  <wp:effectExtent b="0" l="0" r="0" t="0"/>
                  <wp:docPr descr="" title="" id="212" name="Picture"/>
                  <a:graphic>
                    <a:graphicData uri="http://schemas.openxmlformats.org/drawingml/2006/picture">
                      <pic:pic>
                        <pic:nvPicPr>
                          <pic:cNvPr descr="registered_report_files/figure-docx/Figure5-1.png" id="213" name="Picture"/>
                          <pic:cNvPicPr>
                            <a:picLocks noChangeArrowheads="1" noChangeAspect="1"/>
                          </pic:cNvPicPr>
                        </pic:nvPicPr>
                        <pic:blipFill>
                          <a:blip r:embed="rId211"/>
                          <a:stretch>
                            <a:fillRect/>
                          </a:stretch>
                        </pic:blipFill>
                        <pic:spPr bwMode="auto">
                          <a:xfrm>
                            <a:off x="0" y="0"/>
                            <a:ext cx="5486400" cy="590843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asterisks.</w:t>
            </w:r>
            <w:r>
              <w:br/>
            </w:r>
            <w:r>
              <w:t xml:space="preserve">*</w:t>
            </w:r>
            <w:r>
              <w:t xml:space="preserve">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227294"/>
                  <wp:effectExtent b="0" l="0" r="0" t="0"/>
                  <wp:docPr descr="" title="" id="215" name="Picture"/>
                  <a:graphic>
                    <a:graphicData uri="http://schemas.openxmlformats.org/drawingml/2006/picture">
                      <pic:pic>
                        <pic:nvPicPr>
                          <pic:cNvPr descr="registered_report_files/figure-docx/Figure6-1.png" id="216" name="Picture"/>
                          <pic:cNvPicPr>
                            <a:picLocks noChangeArrowheads="1" noChangeAspect="1"/>
                          </pic:cNvPicPr>
                        </pic:nvPicPr>
                        <pic:blipFill>
                          <a:blip r:embed="rId214"/>
                          <a:stretch>
                            <a:fillRect/>
                          </a:stretch>
                        </pic:blipFill>
                        <pic:spPr bwMode="auto">
                          <a:xfrm>
                            <a:off x="0" y="0"/>
                            <a:ext cx="5486400" cy="322729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6.</w:t>
            </w:r>
            <w:r>
              <w:t xml:space="preserve"> </w:t>
            </w:r>
            <w:r>
              <w:t xml:space="preserve">Exploratory analysis testing the association between household threat and material deprivation on task-specific and task-general raw performance measures.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217"/>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79" Target="https://doi.org/10.1016/j.tree.2009.02.010"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69"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7"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73" Target="https://doi.org/10.1111/desc.13451"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5" Target="https://doi.org/10.1111/j.1469-7610.2006.01611.x" TargetMode="External" /><Relationship Type="http://schemas.openxmlformats.org/officeDocument/2006/relationships/hyperlink" Id="rId71"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7"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28" Target="https://stefanvermeent.github.io/abcd_ddm/" TargetMode="External" /><Relationship Type="http://schemas.openxmlformats.org/officeDocument/2006/relationships/hyperlink" Id="rId45" Target="https://stefanvermeent.github.io/abcd_ddm/preregistrations/README.html" TargetMode="External" /><Relationship Type="http://schemas.openxmlformats.org/officeDocument/2006/relationships/hyperlink" Id="rId52" Target="https://stefanvermeent.github.io/abcd_ddm/scripts/README.html" TargetMode="External" /><Relationship Type="http://schemas.openxmlformats.org/officeDocument/2006/relationships/hyperlink" Id="rId17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131" Target="https://doi.org/10.1002/icd.2286" TargetMode="External" /><Relationship Type="http://schemas.openxmlformats.org/officeDocument/2006/relationships/hyperlink" Id="rId96" Target="https://doi.org/10.1016/j.brainres.2006.06.072" TargetMode="External" /><Relationship Type="http://schemas.openxmlformats.org/officeDocument/2006/relationships/hyperlink" Id="rId102" Target="https://doi.org/10.1016/j.copsyc.2015.08.011" TargetMode="External" /><Relationship Type="http://schemas.openxmlformats.org/officeDocument/2006/relationships/hyperlink" Id="rId117" Target="https://doi.org/10.1016/j.copsyc.2021.10.003" TargetMode="External" /><Relationship Type="http://schemas.openxmlformats.org/officeDocument/2006/relationships/hyperlink" Id="rId123" Target="https://doi.org/10.1016/j.dcn.2018.02.006" TargetMode="External" /><Relationship Type="http://schemas.openxmlformats.org/officeDocument/2006/relationships/hyperlink" Id="rId194" Target="https://doi.org/10.1016/j.dcn.2018.03.004" TargetMode="External" /><Relationship Type="http://schemas.openxmlformats.org/officeDocument/2006/relationships/hyperlink" Id="rId110" Target="https://doi.org/10.1016/j.dcn.2018.04.004" TargetMode="External" /><Relationship Type="http://schemas.openxmlformats.org/officeDocument/2006/relationships/hyperlink" Id="rId85" Target="https://doi.org/10.1016/j.dcn.2021.101043" TargetMode="External" /><Relationship Type="http://schemas.openxmlformats.org/officeDocument/2006/relationships/hyperlink" Id="rId108" Target="https://doi.org/10.1016/j.intell.2019.05.003" TargetMode="External" /><Relationship Type="http://schemas.openxmlformats.org/officeDocument/2006/relationships/hyperlink" Id="rId156" Target="https://doi.org/10.1016/j.jaac.2020.02.016" TargetMode="External" /><Relationship Type="http://schemas.openxmlformats.org/officeDocument/2006/relationships/hyperlink" Id="rId164" Target="https://doi.org/10.1016/j.tics.2014.09.001" TargetMode="External" /><Relationship Type="http://schemas.openxmlformats.org/officeDocument/2006/relationships/hyperlink" Id="rId106" Target="https://doi.org/10.1016/j.tics.2020.03.007" TargetMode="External" /><Relationship Type="http://schemas.openxmlformats.org/officeDocument/2006/relationships/hyperlink" Id="rId79" Target="https://doi.org/10.1016/j.tree.2009.02.010" TargetMode="External" /><Relationship Type="http://schemas.openxmlformats.org/officeDocument/2006/relationships/hyperlink" Id="rId173" Target="https://doi.org/10.1017/S0033291715002020" TargetMode="External" /><Relationship Type="http://schemas.openxmlformats.org/officeDocument/2006/relationships/hyperlink" Id="rId94" Target="https://doi.org/10.1017/S0954579420000887" TargetMode="External" /><Relationship Type="http://schemas.openxmlformats.org/officeDocument/2006/relationships/hyperlink" Id="rId190" Target="https://doi.org/10.1017/S1355617714000472" TargetMode="External" /><Relationship Type="http://schemas.openxmlformats.org/officeDocument/2006/relationships/hyperlink" Id="rId177" Target="https://doi.org/10.1027/1618-3169/a000218" TargetMode="External" /><Relationship Type="http://schemas.openxmlformats.org/officeDocument/2006/relationships/hyperlink" Id="rId160" Target="https://doi.org/10.1037/0096-3445.136.3.414" TargetMode="External" /><Relationship Type="http://schemas.openxmlformats.org/officeDocument/2006/relationships/hyperlink" Id="rId175" Target="https://doi.org/10.1037/a0021765" TargetMode="External" /><Relationship Type="http://schemas.openxmlformats.org/officeDocument/2006/relationships/hyperlink" Id="rId69" Target="https://doi.org/10.1037/met0000077" TargetMode="External" /><Relationship Type="http://schemas.openxmlformats.org/officeDocument/2006/relationships/hyperlink" Id="rId133" Target="https://doi.org/10.1037/pspi0000028" TargetMode="External" /><Relationship Type="http://schemas.openxmlformats.org/officeDocument/2006/relationships/hyperlink" Id="rId125" Target="https://doi.org/10.1037/rev0000439" TargetMode="External" /><Relationship Type="http://schemas.openxmlformats.org/officeDocument/2006/relationships/hyperlink" Id="rId119" Target="https://doi.org/10.1037/xge0000774" TargetMode="External" /><Relationship Type="http://schemas.openxmlformats.org/officeDocument/2006/relationships/hyperlink" Id="rId188" Target="https://doi.org/10.1038/nprot.2006.46" TargetMode="External" /><Relationship Type="http://schemas.openxmlformats.org/officeDocument/2006/relationships/hyperlink" Id="rId83" Target="https://doi.org/10.1080/00273171.2014.889594" TargetMode="External" /><Relationship Type="http://schemas.openxmlformats.org/officeDocument/2006/relationships/hyperlink" Id="rId89" Target="https://doi.org/10.1080/09297049.2021.1888905" TargetMode="External" /><Relationship Type="http://schemas.openxmlformats.org/officeDocument/2006/relationships/hyperlink" Id="rId181" Target="https://doi.org/10.1080/09541440802205067" TargetMode="External" /><Relationship Type="http://schemas.openxmlformats.org/officeDocument/2006/relationships/hyperlink" Id="rId81" Target="https://doi.org/10.1080/10705510709336738" TargetMode="External" /><Relationship Type="http://schemas.openxmlformats.org/officeDocument/2006/relationships/hyperlink" Id="rId113" Target="https://doi.org/10.1080/10705519909540118" TargetMode="External" /><Relationship Type="http://schemas.openxmlformats.org/officeDocument/2006/relationships/hyperlink" Id="rId192" Target="https://doi.org/10.1080/15248372.2022.2156515" TargetMode="External" /><Relationship Type="http://schemas.openxmlformats.org/officeDocument/2006/relationships/hyperlink" Id="rId138" Target="https://doi.org/10.1080/15248372.2022.2160723" TargetMode="External" /><Relationship Type="http://schemas.openxmlformats.org/officeDocument/2006/relationships/hyperlink" Id="rId140" Target="https://doi.org/10.1080/15248372.2023.2248698" TargetMode="External" /><Relationship Type="http://schemas.openxmlformats.org/officeDocument/2006/relationships/hyperlink" Id="rId77" Target="https://doi.org/10.1093/arclin/acv031" TargetMode="External" /><Relationship Type="http://schemas.openxmlformats.org/officeDocument/2006/relationships/hyperlink" Id="rId152" Target="https://doi.org/10.1111/1467-9280.00067" TargetMode="External" /><Relationship Type="http://schemas.openxmlformats.org/officeDocument/2006/relationships/hyperlink" Id="rId87" Target="https://doi.org/10.1111/asap.12001" TargetMode="External" /><Relationship Type="http://schemas.openxmlformats.org/officeDocument/2006/relationships/hyperlink" Id="rId185" Target="https://doi.org/10.1111/cdev.13766" TargetMode="External" /><Relationship Type="http://schemas.openxmlformats.org/officeDocument/2006/relationships/hyperlink" Id="rId168" Target="https://doi.org/10.1111/desc.12934" TargetMode="External" /><Relationship Type="http://schemas.openxmlformats.org/officeDocument/2006/relationships/hyperlink" Id="rId98" Target="https://doi.org/10.1111/desc.13133" TargetMode="External" /><Relationship Type="http://schemas.openxmlformats.org/officeDocument/2006/relationships/hyperlink" Id="rId158" Target="https://doi.org/10.1111/desc.13267" TargetMode="External" /><Relationship Type="http://schemas.openxmlformats.org/officeDocument/2006/relationships/hyperlink" Id="rId73" Target="https://doi.org/10.1111/desc.13451" TargetMode="External" /><Relationship Type="http://schemas.openxmlformats.org/officeDocument/2006/relationships/hyperlink" Id="rId142" Target="https://doi.org/10.1111/j.1467-7687.2005.00394.x" TargetMode="External" /><Relationship Type="http://schemas.openxmlformats.org/officeDocument/2006/relationships/hyperlink" Id="rId129" Target="https://doi.org/10.1111/j.1467-8624.2004.00746.x" TargetMode="External" /><Relationship Type="http://schemas.openxmlformats.org/officeDocument/2006/relationships/hyperlink" Id="rId148" Target="https://doi.org/10.1111/j.1467-8721.2008.00608.x" TargetMode="External" /><Relationship Type="http://schemas.openxmlformats.org/officeDocument/2006/relationships/hyperlink" Id="rId75" Target="https://doi.org/10.1111/j.1469-7610.2006.01611.x" TargetMode="External" /><Relationship Type="http://schemas.openxmlformats.org/officeDocument/2006/relationships/hyperlink" Id="rId71" Target="https://doi.org/10.1111/j.2517-6161.1995.tb02031.x" TargetMode="External" /><Relationship Type="http://schemas.openxmlformats.org/officeDocument/2006/relationships/hyperlink" Id="rId144" Target="https://doi.org/10.1111/jcpp.13241" TargetMode="External" /><Relationship Type="http://schemas.openxmlformats.org/officeDocument/2006/relationships/hyperlink" Id="rId166" Target="https://doi.org/10.1126/sciadv.abn4316" TargetMode="External" /><Relationship Type="http://schemas.openxmlformats.org/officeDocument/2006/relationships/hyperlink" Id="rId100" Target="https://doi.org/10.1146/annurev-psych-122414-033645" TargetMode="External" /><Relationship Type="http://schemas.openxmlformats.org/officeDocument/2006/relationships/hyperlink" Id="rId150" Target="https://doi.org/10.1162/neco.2008.12-06-420" TargetMode="External" /><Relationship Type="http://schemas.openxmlformats.org/officeDocument/2006/relationships/hyperlink" Id="rId196" Target="https://doi.org/10.1177/0022022115624155" TargetMode="External" /><Relationship Type="http://schemas.openxmlformats.org/officeDocument/2006/relationships/hyperlink" Id="rId104" Target="https://doi.org/10.1177/0963721413484324" TargetMode="External" /><Relationship Type="http://schemas.openxmlformats.org/officeDocument/2006/relationships/hyperlink" Id="rId162" Target="https://doi.org/10.1177/0963721419896365" TargetMode="External" /><Relationship Type="http://schemas.openxmlformats.org/officeDocument/2006/relationships/hyperlink" Id="rId127" Target="https://doi.org/10.1177/1745691621992346" TargetMode="External" /><Relationship Type="http://schemas.openxmlformats.org/officeDocument/2006/relationships/hyperlink" Id="rId115" Target="https://doi.org/10.1177/1948550617703174" TargetMode="External" /><Relationship Type="http://schemas.openxmlformats.org/officeDocument/2006/relationships/hyperlink" Id="rId92" Target="https://doi.org/10.1257/aer.20201661" TargetMode="External" /><Relationship Type="http://schemas.openxmlformats.org/officeDocument/2006/relationships/hyperlink" Id="rId154" Target="https://doi.org/10.18637/jss.v048.i02" TargetMode="External" /><Relationship Type="http://schemas.openxmlformats.org/officeDocument/2006/relationships/hyperlink" Id="rId146" Target="https://doi.org/10.18637/jss.v057.i01" TargetMode="External" /><Relationship Type="http://schemas.openxmlformats.org/officeDocument/2006/relationships/hyperlink" Id="rId136" Target="https://doi.org/10.26481/dis.20191115mm" TargetMode="External" /><Relationship Type="http://schemas.openxmlformats.org/officeDocument/2006/relationships/hyperlink" Id="rId121" Target="https://doi.org/10.31234/osf.io/xvdyz" TargetMode="External" /><Relationship Type="http://schemas.openxmlformats.org/officeDocument/2006/relationships/hyperlink" Id="rId183" Target="https://doi.org/10.3389/fninf.2013.00014" TargetMode="External" /><Relationship Type="http://schemas.openxmlformats.org/officeDocument/2006/relationships/hyperlink" Id="rId67" Target="https://doi.org/10.3390/pediatric12030028" TargetMode="External" /><Relationship Type="http://schemas.openxmlformats.org/officeDocument/2006/relationships/hyperlink" Id="rId179" Target="https://doi.org/10.3758/BF03196893" TargetMode="External" /><Relationship Type="http://schemas.openxmlformats.org/officeDocument/2006/relationships/hyperlink" Id="rId44" Target="https://nda.nih.gov" TargetMode="External" /><Relationship Type="http://schemas.openxmlformats.org/officeDocument/2006/relationships/hyperlink" Id="rId51" Target="https://osf.io/4n8qr" TargetMode="External" /><Relationship Type="http://schemas.openxmlformats.org/officeDocument/2006/relationships/hyperlink" Id="rId28" Target="https://stefanvermeent.github.io/abcd_ddm/" TargetMode="External" /><Relationship Type="http://schemas.openxmlformats.org/officeDocument/2006/relationships/hyperlink" Id="rId45" Target="https://stefanvermeent.github.io/abcd_ddm/preregistrations/README.html" TargetMode="External" /><Relationship Type="http://schemas.openxmlformats.org/officeDocument/2006/relationships/hyperlink" Id="rId52" Target="https://stefanvermeent.github.io/abcd_ddm/scripts/README.html" TargetMode="External" /><Relationship Type="http://schemas.openxmlformats.org/officeDocument/2006/relationships/hyperlink" Id="rId17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2024-01-19T08:46:14Z</dcterms:created>
  <dcterms:modified xsi:type="dcterms:W3CDTF">2024-01-19T08:46:14Z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