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(Note: This document was written as a dynamic R Markdown document. The current version was submitted as</w:t>
      </w:r>
      <w:r>
        <w:t xml:space="preserve"> </w:t>
      </w:r>
      <w:r>
        <w:rPr>
          <w:b/>
        </w:rPr>
        <w:t xml:space="preserve">Preregistration</w:t>
      </w:r>
      <w:r>
        <w:t xml:space="preserve"> </w:t>
      </w:r>
      <w:r>
        <w:t xml:space="preserve">of the pilot study on</w:t>
      </w:r>
      <w:r>
        <w:t xml:space="preserve"> </w:t>
      </w:r>
      <w:r>
        <w:t xml:space="preserve">. In later versions in time, it will be extended to incorporate the results and discussion based on the pilot data, as well as potential deviations from the current preregistration and additional preregistrations. For an overview of all major versions of the document (e.g., from preregistration to (potential) deviations from the preregistration to final manuscript version), see the</w:t>
      </w:r>
      <w:r>
        <w:t xml:space="preserve"> </w:t>
      </w:r>
      <w:hyperlink r:id="rId20">
        <w:r>
          <w:rPr>
            <w:rStyle w:val="Hyperlink"/>
          </w:rPr>
          <w:t xml:space="preserve">overview of preregistrations and milestones on github</w:t>
        </w:r>
      </w:hyperlink>
      <w:r>
        <w:t xml:space="preserve"> </w:t>
      </w:r>
      <w:r>
        <w:t xml:space="preserve">embedded in the OSF project for a full history of the document.)</w:t>
      </w:r>
    </w:p>
    <w:p>
      <w:pPr>
        <w:pStyle w:val="Heading1"/>
      </w:pPr>
      <w:bookmarkStart w:id="21" w:name="introduction-and-hypotheses"/>
      <w:r>
        <w:t xml:space="preserve">Introduction and hypotheses</w:t>
      </w:r>
      <w:bookmarkEnd w:id="21"/>
    </w:p>
    <w:p>
      <w:pPr>
        <w:pStyle w:val="FirstParagraph"/>
      </w:pPr>
      <w:r>
        <w:t xml:space="preserve">Experiencing childhood adversity is widely thought to have detrimental effects on a range of cognitive and behavioral outcomes. Findings in line with this deficit model have been extensively documented (). Recent years have seen the development of the complimentary hidden talents approach, which emphasizes the specific skills that people might develop in harsh environments through cognitive adaptations. However, it remains largely unclear which mechanisms drive specific enhancements and impairments of cognitive abilities. In this pilot study, we test the idea that people who grow up in adversity tend to develop a present-focused attention style, with features that benefit performance on some cognitive tasks but hurt performance on others.</w:t>
      </w:r>
    </w:p>
    <w:p>
      <w:pPr>
        <w:pStyle w:val="BodyText"/>
      </w:pPr>
      <w:r>
        <w:t xml:space="preserve">In line with previous theorizing</w:t>
      </w:r>
      <w:r>
        <w:t xml:space="preserve"> </w:t>
      </w:r>
      <w:r>
        <w:t xml:space="preserve">(e.g., Ellis et al., 2020; Frankenhuis et al., 2016; Frankenhuis &amp; Weerth, 2013)</w:t>
      </w:r>
      <w:r>
        <w:t xml:space="preserve">, we expect stress-adapted cognitive styles to be characterized by a strong focus on the present. By cognitive style we mean a collection of relatively stable information processing tendencies (e.g., speed of processing, focus of attention, goal-directed behavior) that together determine how people interact with their environment. Over time, a tendency to focus on the here-and-now might lead to a stable external attention style</w:t>
      </w:r>
      <w:r>
        <w:t xml:space="preserve"> </w:t>
      </w:r>
      <w:r>
        <w:t xml:space="preserve">(i.e., attention pointed at the external environment; Chun et al., 2011)</w:t>
      </w:r>
      <w:r>
        <w:t xml:space="preserve">, while less attention is paid to internal processes (e.g., goal-directed behavior, memory retrieval). Previous studies focusing on attentional processes in people from adversity suggest that adversity exposure impairs attention (.., but see ..). However, most of these studies measure attention either indirectly through subjective parent reports, or using</w:t>
      </w:r>
      <w:r>
        <w:t xml:space="preserve"> </w:t>
      </w:r>
      <w:r>
        <w:t xml:space="preserve">“</w:t>
      </w:r>
      <w:r>
        <w:t xml:space="preserve">executive attention</w:t>
      </w:r>
      <w:r>
        <w:t xml:space="preserve">”</w:t>
      </w:r>
      <w:r>
        <w:t xml:space="preserve"> </w:t>
      </w:r>
      <w:r>
        <w:t xml:space="preserve">tasks which involve executive processes such as inhibiting responses and actively maintaining a complex task goal. Conversely, studies focusing on more basic processes tend to focus on attention for and processing of threatening stimuli such as angry faces</w:t>
      </w:r>
      <w:r>
        <w:t xml:space="preserve"> </w:t>
      </w:r>
      <w:r>
        <w:t xml:space="preserve">(e.g., Pollak et al., 2002; Thompson &amp; Steinbeis, 2021)</w:t>
      </w:r>
      <w:r>
        <w:t xml:space="preserve">. Therefore, it remains largely unclear whether adversity shapes more basic and stable (i.e., context-independent) attention styles.</w:t>
      </w:r>
    </w:p>
    <w:p>
      <w:pPr>
        <w:pStyle w:val="BodyText"/>
      </w:pPr>
      <w:r>
        <w:t xml:space="preserve">Here, we focus on two aspects of external attention that we expect to develop in harsh and unpredictable environments: 1) A relatively wider scope of attention and 2) an increased sensitivity to subtle changes in the environment. When might these attention styles develop in adverse environments? Attention is involved in information processing on a timescale of seconds to minutes; Focusing attention for longer periods on a single stimulus is impossible for most people</w:t>
      </w:r>
      <w:r>
        <w:t xml:space="preserve"> </w:t>
      </w:r>
      <w:r>
        <w:t xml:space="preserve">(Warm et al., 2008)</w:t>
      </w:r>
      <w:r>
        <w:t xml:space="preserve">. Thus, stable attention styles are most useful in response to environmental features that unfold on the same timescale. Factors such as changes in adult household members or frequently moving homes, which are often used as proxies for unpredictability, are unlikely to shape stable attentional styles as they unfold over days or weeks. In addition, any threats that are spatially or temporally predictable (e.g., a specific part of the neighborhood that is known to be dangerous or might be especially dangerous at night) are more likely to lead to signal- or cue-based changes in cognitive processing. Instead, a cognitive style that systematically favors external attention over internal attention should develop when threats are frequent and the environment is chaotic, such that past states of the environment are not predictive of the current state</w:t>
      </w:r>
      <w:r>
        <w:t xml:space="preserve"> </w:t>
      </w:r>
      <w:r>
        <w:t xml:space="preserve">(Emond, 2020; Young et al., 2020)</w:t>
      </w:r>
      <w:r>
        <w:t xml:space="preserve">. In such an environment, threats might arise at any time and the occasional reward might be fleeting</w:t>
      </w:r>
      <w:r>
        <w:t xml:space="preserve"> </w:t>
      </w:r>
      <w:r>
        <w:t xml:space="preserve">(Ellis et al., 2009; Frankenhuis et al., 2016)</w:t>
      </w:r>
      <w:r>
        <w:t xml:space="preserve">. In the absence of reliable cues, a person would benefit from having their attention fixated broadly on the external environment, so that threats and opportunities can be anticipated and dealt with as soon as they appear.</w:t>
      </w:r>
    </w:p>
    <w:p>
      <w:pPr>
        <w:pStyle w:val="BodyText"/>
      </w:pPr>
      <w:r>
        <w:t xml:space="preserve">The current pilot study had two primary aims: First, we tested whether people from harsh and unpredictable environments would perform better on attention tasks that favor a broad attention scope and a sensitivity to subtle changes. To this end, participants completed three attention tasks that differed in the extent to which they would favor or punish these attention features. Second, we investigated the link between adversity and attention both in a traditional analysis of reaction times, as well as by using the Drift Diffusion Model</w:t>
      </w:r>
      <w:r>
        <w:t xml:space="preserve"> </w:t>
      </w:r>
      <w:r>
        <w:t xml:space="preserve">(DDM; Forstmann et al., 2016; Ratcliff &amp; Childers, 2015; Ratcliff &amp; McKoon, 2008)</w:t>
      </w:r>
      <w:r>
        <w:t xml:space="preserve"> </w:t>
      </w:r>
      <w:r>
        <w:t xml:space="preserve">to more precisely disentangle the underlying cognitive processes (for more details on the DDM analysis, see the</w:t>
      </w:r>
      <w:r>
        <w:t xml:space="preserve"> </w:t>
      </w:r>
      <w:hyperlink w:anchor="ddm_plan">
        <w:r>
          <w:rPr>
            <w:rStyle w:val="Hyperlink"/>
          </w:rPr>
          <w:t xml:space="preserve">Data analyses</w:t>
        </w:r>
      </w:hyperlink>
      <w:r>
        <w:t xml:space="preserve"> </w:t>
      </w:r>
      <w:r>
        <w:t xml:space="preserve">section).</w:t>
      </w:r>
    </w:p>
    <w:p>
      <w:pPr>
        <w:pStyle w:val="BodyText"/>
      </w:pPr>
      <w:r>
        <w:t xml:space="preserve">Our primary hypotheses were as follows:</w:t>
      </w:r>
    </w:p>
    <w:p>
      <w:pPr>
        <w:numPr>
          <w:numId w:val="1001"/>
          <w:ilvl w:val="0"/>
        </w:numPr>
      </w:pPr>
      <w:r>
        <w:t xml:space="preserve">People with more exposure to violence and environmental unpredictability during childhood will show enhanced or equal performance compared to people from safe environments on tasks that require quickly detecting peripheral stimuli and detecting subtle changes (i.e., the Cued Attention Task and Change Detection Task). This effect is at least partly explained by the speed of information uptake (operationalized through the drift rate parameter of the DDM).</w:t>
      </w:r>
    </w:p>
    <w:p>
      <w:pPr>
        <w:numPr>
          <w:numId w:val="1001"/>
          <w:ilvl w:val="0"/>
        </w:numPr>
      </w:pPr>
      <w:r>
        <w:t xml:space="preserve">People with more exposure to violence and environmental unpredictability during childhood will perform worse on tasks that require ignoring distracting peripheral stimuli (i.e., the Flanker Task). This effect is at least partly explained by a wider initial attentional focus, (operationalized through the attentional width parameter of the Spotlight DDM (SDDM) analysis).</w:t>
      </w:r>
    </w:p>
    <w:p>
      <w:pPr>
        <w:pStyle w:val="FirstParagraph"/>
      </w:pPr>
      <w:r>
        <w:t xml:space="preserve">In addition, the pilot study had a number of secondary aims: First, we investigated whether the link between measures of adversity and attention would be contingent on the timescale of the adversity items. More specifically, we explored whether stable attention styles might be better predicted by items of momentary unpredictability (e.g.,</w:t>
      </w:r>
      <w:r>
        <w:t xml:space="preserve"> </w:t>
      </w:r>
      <w:r>
        <w:t xml:space="preserve">“</w:t>
      </w:r>
      <w:r>
        <w:t xml:space="preserve">things were often chaotic in my house</w:t>
      </w:r>
      <w:r>
        <w:t xml:space="preserve">”</w:t>
      </w:r>
      <w:r>
        <w:t xml:space="preserve">) than by items of temporally extended unpredictability (</w:t>
      </w:r>
      <w:r>
        <w:t xml:space="preserve">“</w:t>
      </w:r>
      <w:r>
        <w:t xml:space="preserve">At least one of my parents changed jobs frequently</w:t>
      </w:r>
      <w:r>
        <w:t xml:space="preserve">”</w:t>
      </w:r>
      <w:r>
        <w:t xml:space="preserve">). Second, we conducted exploratory correlation analyses between measures of adversity, attention, and measures of temporal orientation (i.e., impulsivity and future orientation). Third, we explored whether potential effects of adversity on task performance might be moderated by current states of anxiety, hunger, or sleep deprivation. Fourth, we explored the extent to which our retrospective measures of adversity correlate with current depressive symptoms, which might reflect a retrospective negativity bias driven by current psychopathological symptoms</w:t>
      </w:r>
      <w:r>
        <w:t xml:space="preserve"> </w:t>
      </w:r>
      <w:r>
        <w:t xml:space="preserve">(Nivison et al., 2021)</w:t>
      </w:r>
      <w:r>
        <w:t xml:space="preserve">.</w:t>
      </w:r>
    </w:p>
    <w:p>
      <w:pPr>
        <w:pStyle w:val="Heading1"/>
      </w:pPr>
      <w:bookmarkStart w:id="22" w:name="methods"/>
      <w:r>
        <w:t xml:space="preserve">Methods</w:t>
      </w:r>
      <w:bookmarkEnd w:id="22"/>
    </w:p>
    <w:p>
      <w:pPr>
        <w:pStyle w:val="Heading2"/>
      </w:pPr>
      <w:bookmarkStart w:id="23" w:name="participants"/>
      <w:r>
        <w:t xml:space="preserve">Participants</w:t>
      </w:r>
      <w:bookmarkEnd w:id="23"/>
    </w:p>
    <w:p>
      <w:pPr>
        <w:pStyle w:val="FirstParagraph"/>
      </w:pPr>
      <w:r>
        <w:t xml:space="preserve">Participants were XXX US-based individuals between the ages of 18 and 30 (</w:t>
      </w:r>
      <w:r>
        <w:rPr>
          <w:i/>
        </w:rPr>
        <w:t xml:space="preserve">M</w:t>
      </w:r>
      <w:r>
        <w:t xml:space="preserve"> </w:t>
      </w:r>
      <w:r>
        <w:t xml:space="preserve">= ,</w:t>
      </w:r>
      <w:r>
        <w:t xml:space="preserve"> </w:t>
      </w:r>
      <w:r>
        <w:rPr>
          <w:i/>
        </w:rPr>
        <w:t xml:space="preserve">SD</w:t>
      </w:r>
      <w:r>
        <w:t xml:space="preserve"> </w:t>
      </w:r>
      <w:r>
        <w:t xml:space="preserve">= ). We decided for this age cut-off to limit the effect of healthy age-related cognitive decline on speeded cognitive tasks, which becomes more pronounced after age 30</w:t>
      </w:r>
      <w:r>
        <w:t xml:space="preserve"> </w:t>
      </w:r>
      <w:r>
        <w:t xml:space="preserve">(Salthouse, 2010)</w:t>
      </w:r>
      <w:r>
        <w:t xml:space="preserve">. Recruitment took place through Prolific. Participants were eligible for for the study if they were between 18 and 30 years old, if they were currently residing in the United States, if they did not have a history of brain injury, and if they had normal or corrected-to-normal eyesight.</w:t>
      </w:r>
    </w:p>
    <w:p>
      <w:pPr>
        <w:pStyle w:val="BodyText"/>
      </w:pPr>
      <w:r>
        <w:t xml:space="preserve">The sample size was determined by a</w:t>
      </w:r>
      <w:r>
        <w:t xml:space="preserve"> </w:t>
      </w:r>
      <w:hyperlink r:id="rId24">
        <w:r>
          <w:rPr>
            <w:rStyle w:val="Hyperlink"/>
          </w:rPr>
          <w:t xml:space="preserve">preregistered power analysis</w:t>
        </w:r>
      </w:hyperlink>
      <w:r>
        <w:t xml:space="preserve">)).</w:t>
      </w:r>
      <w:r>
        <w:t xml:space="preserve"> </w:t>
      </w:r>
      <w:r>
        <w:t xml:space="preserve">[…]</w:t>
      </w:r>
    </w:p>
    <w:p>
      <w:pPr>
        <w:pStyle w:val="Heading2"/>
      </w:pPr>
      <w:bookmarkStart w:id="25" w:name="exclusion"/>
      <w:r>
        <w:t xml:space="preserve">Exclusion criteria</w:t>
      </w:r>
      <w:bookmarkEnd w:id="25"/>
    </w:p>
    <w:p>
      <w:pPr>
        <w:pStyle w:val="FirstParagraph"/>
      </w:pPr>
      <w:r>
        <w:t xml:space="preserve">We applied several exclusion criteria prior to analyzing the data. First, we excluded participants with incomplete data on any of the attention tasks (</w:t>
      </w:r>
      <w:r>
        <w:rPr>
          <w:i/>
        </w:rPr>
        <w:t xml:space="preserve">N</w:t>
      </w:r>
      <w:r>
        <w:t xml:space="preserve"> </w:t>
      </w:r>
      <w:r>
        <w:t xml:space="preserve">= ). Second, we analyzed responses to the attention checks and reversed coded items in the questionnaire part of the experiment. We excluded participants if they missed both attention check items or if they had suspicious response patterns (e.g., consistently endorsing high response options even when some items were reversed coded) (</w:t>
      </w:r>
      <w:r>
        <w:rPr>
          <w:i/>
        </w:rPr>
        <w:t xml:space="preserve">N</w:t>
      </w:r>
      <w:r>
        <w:t xml:space="preserve"> </w:t>
      </w:r>
      <w:r>
        <w:t xml:space="preserve">= ).</w:t>
      </w:r>
    </w:p>
    <w:p>
      <w:pPr>
        <w:pStyle w:val="BodyText"/>
      </w:pPr>
      <w:r>
        <w:t xml:space="preserve">In addition, we screened the reaction times on each of the three attention tasks. For the Drift Diffusion analyses, it is important that each response is generated by a process of active information accumulation (i.e., a diffusion process, as opposed to guessing). To this end, trials with reaction times &lt; 250ms or longer than 3500ms</w:t>
      </w:r>
      <w:r>
        <w:t xml:space="preserve"> </w:t>
      </w:r>
      <w:r>
        <w:t xml:space="preserve">(Ratcliff &amp; Childers, 2015)</w:t>
      </w:r>
      <w:r>
        <w:t xml:space="preserve"> </w:t>
      </w:r>
      <w:r>
        <w:t xml:space="preserve">were excluded from the analyses (</w:t>
      </w:r>
      <w:r>
        <w:rPr>
          <w:i/>
        </w:rPr>
        <w:t xml:space="preserve">N</w:t>
      </w:r>
      <w:r>
        <w:t xml:space="preserve"> </w:t>
      </w:r>
      <w:r>
        <w:t xml:space="preserve">= ). Participants with more than 10 removed trials were excluded from the analyses (N = ).</w:t>
      </w:r>
    </w:p>
    <w:p>
      <w:pPr>
        <w:pStyle w:val="Heading2"/>
      </w:pPr>
      <w:bookmarkStart w:id="26" w:name="procedure"/>
      <w:r>
        <w:t xml:space="preserve">Procedure</w:t>
      </w:r>
      <w:bookmarkEnd w:id="26"/>
    </w:p>
    <w:p>
      <w:pPr>
        <w:pStyle w:val="FirstParagraph"/>
      </w:pPr>
      <w:r>
        <w:t xml:space="preserve">The experiment was completed on the participants’ own laptop or desktop computer and consisted of four parts: written consent, attention task battery, questionnaire battery, brief demographics form, and final checks and the opportunity to give feedback on the experiment. [something on ethical approval].</w:t>
      </w:r>
    </w:p>
    <w:p>
      <w:pPr>
        <w:pStyle w:val="BodyText"/>
      </w:pPr>
      <w:r>
        <w:t xml:space="preserve">After providing consent, participants started with the three attention tasks. They were asked to complete the attention tasks in a quiet room in the house where they would be least likely to be distracted by other people or outside noises. The order of the tasks was counterbalanced between subjects. At the onset of the first task, the experiment went into full-screen mode to limit distractions from other programs or browser tabs. The size of the task stimuli was controlled between subjects using the resize plugin in JsPsych. Participants were asked to hold a creditcard (or similarly sized card) up against the screen and to increase the size of a blue rectangle on the screen until it matched the size of the creditcard. The stimulus display for each task was resized so that 100 pixels corresponded to 1 inch for all participants. After succesfully resizing the screen, participants completed all three tasks. Whenever participants had to respond by use of their keyboard, the cursor was hidden from the screen to minimize distractions. Code for the three tasks can be found on</w:t>
      </w:r>
      <w:r>
        <w:t xml:space="preserve"> </w:t>
      </w:r>
      <w:hyperlink r:id="rId27">
        <w:r>
          <w:rPr>
            <w:rStyle w:val="Hyperlink"/>
          </w:rPr>
          <w:t xml:space="preserve">Github</w:t>
        </w:r>
      </w:hyperlink>
      <w:r>
        <w:t xml:space="preserve">.</w:t>
      </w:r>
    </w:p>
    <w:p>
      <w:pPr>
        <w:pStyle w:val="BodyText"/>
      </w:pPr>
      <w:r>
        <w:t xml:space="preserve">After completing the attention tasks, participants completed the questionnaire battery in the following fixed order: 1) Current state (state anxiety and separate questions relating to specific states); 2) Childhood adversity (perceived unpredictability, perceived socio-economic status, exposure to violence and physical fights, household chaos); 3) Temporal orientation (impulsivity, future orientation); 4) Depressive symptoms.</w:t>
      </w:r>
    </w:p>
    <w:p>
      <w:pPr>
        <w:pStyle w:val="BodyText"/>
      </w:pPr>
      <w:r>
        <w:t xml:space="preserve">Finally, the demographics questions asked about the participant’s age, weight, height, physical activity, sex at birth, gender, ethnicity, social class (current and during childhood), education level (one’s own as well as parents’ education level), occupation, and household income. At the end of the experiment, we asked participants if they ever got up or were interrupted during the study, and how noisy their environment was during the attention tasks.</w:t>
      </w:r>
    </w:p>
    <w:p>
      <w:pPr>
        <w:pStyle w:val="Heading2"/>
      </w:pPr>
      <w:bookmarkStart w:id="28" w:name="measures"/>
      <w:r>
        <w:t xml:space="preserve">Measures</w:t>
      </w:r>
      <w:bookmarkEnd w:id="28"/>
    </w:p>
    <w:p>
      <w:pPr>
        <w:pStyle w:val="FirstParagraph"/>
      </w:pPr>
      <w:r>
        <w:t xml:space="preserve">The attention tasks were programmed in JsPsych version 3.6.1</w:t>
      </w:r>
      <w:r>
        <w:t xml:space="preserve"> </w:t>
      </w:r>
      <w:r>
        <w:t xml:space="preserve">(Leeuw, 2015)</w:t>
      </w:r>
      <w:r>
        <w:t xml:space="preserve">.</w:t>
      </w:r>
    </w:p>
    <w:p>
      <w:pPr>
        <w:pStyle w:val="Heading3"/>
      </w:pPr>
      <w:bookmarkStart w:id="29" w:name="cued_attention"/>
      <w:r>
        <w:t xml:space="preserve">Cued attention task</w:t>
      </w:r>
      <w:bookmarkEnd w:id="29"/>
    </w:p>
    <w:p>
      <w:pPr>
        <w:pStyle w:val="FirstParagraph"/>
      </w:pPr>
      <w:r>
        <w:t xml:space="preserve">The cued attention task was an adaptation of the Posner task</w:t>
      </w:r>
      <w:r>
        <w:t xml:space="preserve"> </w:t>
      </w:r>
      <w:r>
        <w:t xml:space="preserve">(Posner, 1980)</w:t>
      </w:r>
      <w:r>
        <w:t xml:space="preserve">. On each trial, a left- or right-pointing arrow is presented in one of eight random locations at a distance of 300 pixels from the center of the screen (see Figure 1B). Participants had to indicate the direction of the arrow by pressing either the left- or right arrow key on their keyboard. On 50% of the trials, the arrow was preceded by a cue (</w:t>
      </w:r>
      <w:r>
        <w:t xml:space="preserve">“</w:t>
      </w:r>
      <w:r>
        <w:t xml:space="preserve">*</w:t>
      </w:r>
      <w:r>
        <w:t xml:space="preserve">”</w:t>
      </w:r>
      <w:r>
        <w:t xml:space="preserve">) in the exact same location (i.e., cued trials). On the other 50% of the trials, the cue (</w:t>
      </w:r>
      <w:r>
        <w:t xml:space="preserve">“</w:t>
      </w:r>
      <w:r>
        <w:t xml:space="preserve">*</w:t>
      </w:r>
      <w:r>
        <w:t xml:space="preserve">”</w:t>
      </w:r>
      <w:r>
        <w:t xml:space="preserve">) was presented at the center of the screen (i.e., neutral trials). Thus, on the cued trials, the location of the cue deterministically predicted the location of the arrow, whereas on the neutral trials the arrow always appeared in a different location.</w:t>
      </w:r>
    </w:p>
    <w:p>
      <w:pPr>
        <w:pStyle w:val="BodyText"/>
      </w:pPr>
      <w:r>
        <w:t xml:space="preserve">Each trial started with a fixation cross presented at the center of the screen for 1000ms. Then, the cue was presented for 250ms either at the center of the screen or in the location where the arrow would appear next. Finally, the arrow was presented 250ms after the onset of the cue and shown until a response was given. The cued attention task began with eight practice trials (four cued and four neutral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a single test block consisting of a total of 64 trials (two repetitions of all parameter combinations: arrow location (top center vs. top left vs. center left vs. bottom left vs. bottom center vs. bottom right vs. center right vs. top right) X arrow direction (left vs. right) X condition (cued vs. neutral)).</w:t>
      </w:r>
    </w:p>
    <w:p>
      <w:pPr>
        <w:pStyle w:val="Heading3"/>
      </w:pPr>
      <w:bookmarkStart w:id="30" w:name="flanker"/>
      <w:r>
        <w:t xml:space="preserve">Flanker task</w:t>
      </w:r>
      <w:bookmarkEnd w:id="30"/>
    </w:p>
    <w:p>
      <w:pPr>
        <w:pStyle w:val="FirstParagraph"/>
      </w:pPr>
      <w:r>
        <w:t xml:space="preserve">On each trial of the Flanker task</w:t>
      </w:r>
      <w:r>
        <w:t xml:space="preserve"> </w:t>
      </w:r>
      <w:r>
        <w:t xml:space="preserve">(Eriksen &amp; Eriksen, 1974)</w:t>
      </w:r>
      <w:r>
        <w:t xml:space="preserve">, participants were presented with a set of five arrows pointing either left or right. Their job was to indicate the direction of the central arrow while ignoring the flanking arrows to the left and right (see Figure 1A). On 50% of the trials, the flanking arrows pointed in the same direction as the central arrow (i.e., congruent trials), and on the other 50% of the trials they pointed in the opposite direction (i.e., incongruent trials). The arrows were randomly presented in the top-half or bottom-half of the screen. This was done to prevent participants from rigidly fixating on the center of the screen, which would reduce the interfering effect of the flanking arrows.</w:t>
      </w:r>
    </w:p>
    <w:p>
      <w:pPr>
        <w:pStyle w:val="BodyText"/>
      </w:pPr>
      <w:r>
        <w:t xml:space="preserve">Each trial started with a fixation cross presented at the center of the screen. After a delay of 1000ms, the arrows are presented either in the top- or bottom-half of the screen. Participants were given 2000ms to indicate the direction of the center arrow. The Flanker task began with eight practice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a single test block consisting of a total of 64 trials (eight repetitions of all parameter combinations: arrow location (top vs. bottom) X central arrow direction (left vs. right) X condition: (congruent vs. incongruent)). Participants did not receive performance feedback during the test block.</w:t>
      </w:r>
    </w:p>
    <w:p>
      <w:pPr>
        <w:pStyle w:val="Heading3"/>
      </w:pPr>
      <w:bookmarkStart w:id="31" w:name="change"/>
      <w:r>
        <w:t xml:space="preserve">Change detection task</w:t>
      </w:r>
      <w:bookmarkEnd w:id="31"/>
    </w:p>
    <w:p>
      <w:pPr>
        <w:pStyle w:val="FirstParagraph"/>
      </w:pPr>
      <w:r>
        <w:t xml:space="preserve">On each trial of the change detection task, participants were presented with five colored circles against a grey background, each with a radius of 15 pixels (see Figure 1C). Each circle was located in a random location within a pre-specified area of 50 by 50 pixels to prevent overlap. Participants had 1000ms to memorize the locations of the five circles around the fixation cross. After 1000ms, the circles briefly disappeared for 500ms and then reappeared again. On 50% of the trials, one of the circles had moved to another location with a fixed displacement of 40 pixels in a 360 degree direction. On the other 50% of the trials, all circles were still in the same location as the initial memory display. Participants have to indicate whether they thought one of the circles changed location (by pressing the left-arrow key) or whether they thought all circles were still in the same location (by pressing the right-arrow key). Note that the only potential difference between the memory and probe display was the displacement of</w:t>
      </w:r>
      <w:r>
        <w:t xml:space="preserve"> </w:t>
      </w:r>
      <w:r>
        <w:rPr>
          <w:b/>
        </w:rPr>
        <w:t xml:space="preserve">one</w:t>
      </w:r>
      <w:r>
        <w:t xml:space="preserve"> </w:t>
      </w:r>
      <w:r>
        <w:t xml:space="preserve">circle; the remaining circles were always in the same place and circles never changed color within a trial.</w:t>
      </w:r>
    </w:p>
    <w:p>
      <w:pPr>
        <w:pStyle w:val="BodyText"/>
      </w:pPr>
      <w:r>
        <w:t xml:space="preserve">The change detection task started with five practice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two test blocks consisting of 25 trials each (50 trials in total). The design was fully counterbalanced so that on each</w:t>
      </w:r>
      <w:r>
        <w:t xml:space="preserve"> </w:t>
      </w:r>
      <w:r>
        <w:t xml:space="preserve">“</w:t>
      </w:r>
      <w:r>
        <w:t xml:space="preserve">movement</w:t>
      </w:r>
      <w:r>
        <w:t xml:space="preserve">”</w:t>
      </w:r>
      <w:r>
        <w:t xml:space="preserve"> </w:t>
      </w:r>
      <w:r>
        <w:t xml:space="preserve">trial, each of the five circles changes five times per block for each of the five colors. Participants did not receive performance feedback during the two test blocks.</w:t>
      </w:r>
    </w:p>
    <w:p>
      <w:pPr>
        <w:pStyle w:val="Heading3"/>
      </w:pPr>
      <w:bookmarkStart w:id="32" w:name="state"/>
      <w:r>
        <w:t xml:space="preserve">Current state</w:t>
      </w:r>
      <w:bookmarkEnd w:id="32"/>
    </w:p>
    <w:p>
      <w:pPr>
        <w:pStyle w:val="FirstParagraph"/>
      </w:pPr>
      <w:r>
        <w:t xml:space="preserve">We assessed state anxiety during the experiment using the state subscale of the State-Trait Anxiety Inventory</w:t>
      </w:r>
      <w:r>
        <w:t xml:space="preserve"> </w:t>
      </w:r>
      <w:r>
        <w:t xml:space="preserve">(STAI-S; Spielberger et al., 1999)</w:t>
      </w:r>
      <w:r>
        <w:t xml:space="preserve">. The STAI-S contains 20 short items measuring current anxiety (e.g.,</w:t>
      </w:r>
      <w:r>
        <w:t xml:space="preserve"> </w:t>
      </w:r>
      <w:r>
        <w:t xml:space="preserve">“</w:t>
      </w:r>
      <w:r>
        <w:t xml:space="preserve">I feel tense</w:t>
      </w:r>
      <w:r>
        <w:t xml:space="preserve">”</w:t>
      </w:r>
      <w:r>
        <w:t xml:space="preserve">; See</w:t>
      </w:r>
      <w:r>
        <w:t xml:space="preserve"> </w:t>
      </w:r>
      <w:hyperlink w:anchor="appendix">
        <w:r>
          <w:rPr>
            <w:rStyle w:val="Hyperlink"/>
          </w:rPr>
          <w:t xml:space="preserve">Table S1</w:t>
        </w:r>
      </w:hyperlink>
      <w:r>
        <w:t xml:space="preserve"> </w:t>
      </w:r>
      <w:r>
        <w:t xml:space="preserve">for an overview of all items). Participants rated each item on a scale of 1 (not at all) to 4 (very much so).</w:t>
      </w:r>
    </w:p>
    <w:p>
      <w:pPr>
        <w:pStyle w:val="BodyText"/>
      </w:pPr>
      <w:r>
        <w:t xml:space="preserve">Scores were recoded to range from 0 (not at all) to 3 (very much so). An overall state anxiety variable was computed by summing the 20 items (</w:t>
      </w:r>
      <w:r>
        <w:rPr>
          <w:i/>
        </w:rPr>
        <w:t xml:space="preserve">M</w:t>
      </w:r>
      <w:r>
        <w:t xml:space="preserve"> </w:t>
      </w:r>
      <w:r>
        <w:t xml:space="preserve">=</w:t>
      </w:r>
      <w:r>
        <w:t xml:space="preserve"> </w:t>
      </w:r>
      <w:r>
        <w:rPr>
          <w:rStyle w:val="VerbatimChar"/>
        </w:rPr>
        <w:t xml:space="preserve">rr #TBD</w:t>
      </w:r>
      <w:r>
        <w:t xml:space="preserve">,</w:t>
      </w:r>
      <w:r>
        <w:t xml:space="preserve"> </w:t>
      </w:r>
      <w:r>
        <w:rPr>
          <w:i/>
        </w:rPr>
        <w:t xml:space="preserve">SD</w:t>
      </w:r>
      <w:r>
        <w:t xml:space="preserve"> </w:t>
      </w:r>
      <w:r>
        <w:t xml:space="preserve">= ,</w:t>
      </w:r>
      <w:r>
        <w:t xml:space="preserve"> </w:t>
      </w:r>
      <m:oMath>
        <m:r>
          <m:t>α</m:t>
        </m:r>
      </m:oMath>
      <w:r>
        <w:t xml:space="preserve"> </w:t>
      </w:r>
      <w:r>
        <w:t xml:space="preserve">= ).</w:t>
      </w:r>
    </w:p>
    <w:p>
      <w:pPr>
        <w:pStyle w:val="BodyText"/>
      </w:pPr>
      <w:r>
        <w:t xml:space="preserve">In addition, participants answered five questions relating to specific states:</w:t>
      </w:r>
      <w:r>
        <w:t xml:space="preserve"> </w:t>
      </w:r>
      <w:r>
        <w:t xml:space="preserve">“</w:t>
      </w:r>
      <w:r>
        <w:t xml:space="preserve">Are you currently sick?</w:t>
      </w:r>
      <w:r>
        <w:t xml:space="preserve">”</w:t>
      </w:r>
      <w:r>
        <w:t xml:space="preserve"> </w:t>
      </w:r>
      <w:r>
        <w:t xml:space="preserve">(rated as yes or no);</w:t>
      </w:r>
      <w:r>
        <w:t xml:space="preserve"> </w:t>
      </w:r>
      <w:r>
        <w:t xml:space="preserve">“</w:t>
      </w:r>
      <w:r>
        <w:t xml:space="preserve">Have you eaten a full meal today?</w:t>
      </w:r>
      <w:r>
        <w:t xml:space="preserve">”</w:t>
      </w:r>
      <w:r>
        <w:t xml:space="preserve"> </w:t>
      </w:r>
      <w:r>
        <w:t xml:space="preserve">(rated as yes or no);</w:t>
      </w:r>
      <w:r>
        <w:t xml:space="preserve"> </w:t>
      </w:r>
      <w:r>
        <w:t xml:space="preserve">“</w:t>
      </w:r>
      <w:r>
        <w:t xml:space="preserve">How hungry do you feel right now?</w:t>
      </w:r>
      <w:r>
        <w:t xml:space="preserve">”</w:t>
      </w:r>
      <w:r>
        <w:t xml:space="preserve"> </w:t>
      </w:r>
      <w:r>
        <w:t xml:space="preserve">(rated from 1 (not at all) to 5 (very hungry));</w:t>
      </w:r>
      <w:r>
        <w:t xml:space="preserve"> </w:t>
      </w:r>
      <w:r>
        <w:t xml:space="preserve">“</w:t>
      </w:r>
      <w:r>
        <w:t xml:space="preserve">How well did you sleep last night?</w:t>
      </w:r>
      <w:r>
        <w:t xml:space="preserve">”</w:t>
      </w:r>
      <w:r>
        <w:t xml:space="preserve"> </w:t>
      </w:r>
      <w:r>
        <w:t xml:space="preserve">(rated from 1 (very poorly) to 5 (very well));</w:t>
      </w:r>
      <w:r>
        <w:t xml:space="preserve"> </w:t>
      </w:r>
      <w:r>
        <w:t xml:space="preserve">“</w:t>
      </w:r>
      <w:r>
        <w:t xml:space="preserve">How rested or refreshed did you feel when you woke up this morning?</w:t>
      </w:r>
      <w:r>
        <w:t xml:space="preserve">”</w:t>
      </w:r>
      <w:r>
        <w:t xml:space="preserve"> </w:t>
      </w:r>
      <w:r>
        <w:t xml:space="preserve">(rated from 1 (not at all) to 5 (very rested)).</w:t>
      </w:r>
    </w:p>
    <w:p>
      <w:pPr>
        <w:pStyle w:val="Heading3"/>
      </w:pPr>
      <w:bookmarkStart w:id="33" w:name="violence"/>
      <w:r>
        <w:t xml:space="preserve">Violence exposure</w:t>
      </w:r>
      <w:bookmarkEnd w:id="33"/>
    </w:p>
    <w:p>
      <w:pPr>
        <w:pStyle w:val="FirstParagraph"/>
      </w:pPr>
      <w:r>
        <w:t xml:space="preserve">Violence exposure was measured using the Neighborhood Violence Scale [NVS; Frankenhuis &amp; Bijlstra, 2018; Frankenhuis, de Vries, Bianchi, &amp; Ellis, 2020] and two items assessing exposure to physical fights before age 13. The NVS contains seven items measuring perceived exposure to violence before age 13 (e.g.,</w:t>
      </w:r>
      <w:r>
        <w:t xml:space="preserve"> </w:t>
      </w:r>
      <w:r>
        <w:t xml:space="preserve">“</w:t>
      </w:r>
      <w:r>
        <w:t xml:space="preserve">Crime was common in the neighborhood where I grew up</w:t>
      </w:r>
      <w:r>
        <w:t xml:space="preserve">”</w:t>
      </w:r>
      <w:r>
        <w:t xml:space="preserve">; See</w:t>
      </w:r>
      <w:r>
        <w:t xml:space="preserve"> </w:t>
      </w:r>
      <w:hyperlink w:anchor="appendix">
        <w:r>
          <w:rPr>
            <w:rStyle w:val="Hyperlink"/>
          </w:rPr>
          <w:t xml:space="preserve">Table S2</w:t>
        </w:r>
      </w:hyperlink>
      <w:r>
        <w:t xml:space="preserve"> </w:t>
      </w:r>
      <w:r>
        <w:t xml:space="preserve">for an overview of all items). Participants rated each on a scale from 1 (never true) to 5 (very often true). The physical fighting items assessed the number of times participants witnessed fights before age 13:</w:t>
      </w:r>
      <w:r>
        <w:t xml:space="preserve"> </w:t>
      </w:r>
      <w:r>
        <w:t xml:space="preserve">“</w:t>
      </w:r>
      <w:r>
        <w:t xml:space="preserve">Based on your experiences, how many times did you see or hear someone being beaten up in real life, before age 13?</w:t>
      </w:r>
      <w:r>
        <w:t xml:space="preserve">”</w:t>
      </w:r>
      <w:r>
        <w:t xml:space="preserve"> </w:t>
      </w:r>
      <w:r>
        <w:t xml:space="preserve">and</w:t>
      </w:r>
      <w:r>
        <w:t xml:space="preserve"> </w:t>
      </w:r>
      <w:r>
        <w:t xml:space="preserve">“</w:t>
      </w:r>
      <w:r>
        <w:t xml:space="preserve">How many times were you in a physical fight, before age 13?</w:t>
      </w:r>
      <w:r>
        <w:t xml:space="preserve">”</w:t>
      </w:r>
      <w:r>
        <w:t xml:space="preserve"> </w:t>
      </w:r>
      <w:r>
        <w:t xml:space="preserve">Answers to both items ranged from 1 (0 times) to 8 (12 or more times).</w:t>
      </w:r>
    </w:p>
    <w:p>
      <w:pPr>
        <w:pStyle w:val="BodyText"/>
      </w:pPr>
      <w:r>
        <w:t xml:space="preserve">The items of the NVS were averaged together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 Similarly, we averaged the scores on the two fighting items together. Finally, we created a perceived violence exposure composite by standardizing the NVS and fighting composites and averaging them together (</w:t>
      </w:r>
      <w:r>
        <w:rPr>
          <w:i/>
        </w:rPr>
        <w:t xml:space="preserve">r</w:t>
      </w:r>
      <w:r>
        <w:t xml:space="preserve"> </w:t>
      </w:r>
      <w:r>
        <w:t xml:space="preserve">= ).</w:t>
      </w:r>
    </w:p>
    <w:p>
      <w:pPr>
        <w:pStyle w:val="Heading3"/>
      </w:pPr>
      <w:bookmarkStart w:id="34" w:name="unpred"/>
      <w:r>
        <w:t xml:space="preserve">Unpredictability</w:t>
      </w:r>
      <w:bookmarkEnd w:id="34"/>
    </w:p>
    <w:p>
      <w:pPr>
        <w:pStyle w:val="FirstParagraph"/>
      </w:pPr>
      <w:r>
        <w:t xml:space="preserve">Perceived unpredictability before age 13 was measured using two different scales: A scale of perceived childhood unpredictability used in previous research</w:t>
      </w:r>
      <w:r>
        <w:t xml:space="preserve"> </w:t>
      </w:r>
      <w:r>
        <w:t xml:space="preserve">(Mittal et al., 2015; Young et al., 2018)</w:t>
      </w:r>
      <w:r>
        <w:t xml:space="preserve"> </w:t>
      </w:r>
      <w:r>
        <w:t xml:space="preserve">and an adaptation of the Questionnaire of Unpredictability in Childhood</w:t>
      </w:r>
      <w:r>
        <w:t xml:space="preserve"> </w:t>
      </w:r>
      <w:r>
        <w:t xml:space="preserve">(QUIC; Glynn et al., 2019)</w:t>
      </w:r>
      <w:r>
        <w:t xml:space="preserve">. The perceived childhood unpredictability scale contained eight items measuring perceived unpredictability before age 13 (e.g,</w:t>
      </w:r>
      <w:r>
        <w:t xml:space="preserve"> </w:t>
      </w:r>
      <w:r>
        <w:t xml:space="preserve">“</w:t>
      </w:r>
      <w:r>
        <w:t xml:space="preserve">My family life was generally inconsistent and unpredictable from day-to-day</w:t>
      </w:r>
      <w:r>
        <w:t xml:space="preserve">”</w:t>
      </w:r>
      <w:r>
        <w:t xml:space="preserve">; See</w:t>
      </w:r>
      <w:r>
        <w:t xml:space="preserve"> </w:t>
      </w:r>
      <w:hyperlink w:anchor="appendix">
        <w:r>
          <w:rPr>
            <w:rStyle w:val="Hyperlink"/>
          </w:rPr>
          <w:t xml:space="preserve">Table S2</w:t>
        </w:r>
      </w:hyperlink>
      <w:r>
        <w:t xml:space="preserve"> </w:t>
      </w:r>
      <w:r>
        <w:t xml:space="preserve">for an overview of all items). Participants rated each on a scale from 1 (never true) to 5 (very often true).</w:t>
      </w:r>
    </w:p>
    <w:p>
      <w:pPr>
        <w:pStyle w:val="BodyText"/>
      </w:pPr>
      <w:r>
        <w:t xml:space="preserve">We included the QUIC because it captures several dimensions of environmental and household unpredictability with a better (but not perfect) distinction between items capturing more short-term unpredictability (i.e., on the level of seconds to minutes) and more long-term unpredictability (i.e., on the level of days to months). Note that the scale of perceived childhood unpredictability combines items on a short-term scale (e.g., item 1) with items measured on a long-term scale (e.g., item 3) which might have different effects on the development of specific attention styles.</w:t>
      </w:r>
    </w:p>
    <w:p>
      <w:pPr>
        <w:pStyle w:val="BodyText"/>
      </w:pPr>
      <w:r>
        <w:t xml:space="preserve">the QUIC consists of 38 items across five subscales: 1) Parental monitoring and involvement, 2) Parental predictability, 3) Parental environment, 4) Physical environment, and 5) Safety and security (See</w:t>
      </w:r>
      <w:r>
        <w:t xml:space="preserve"> </w:t>
      </w:r>
      <w:hyperlink w:anchor="appendix">
        <w:r>
          <w:rPr>
            <w:rStyle w:val="Hyperlink"/>
          </w:rPr>
          <w:t xml:space="preserve">Table S4</w:t>
        </w:r>
      </w:hyperlink>
      <w:r>
        <w:t xml:space="preserve"> </w:t>
      </w:r>
      <w:r>
        <w:t xml:space="preserve">for an overview of all items). We made two changes to the original scale as described in</w:t>
      </w:r>
      <w:r>
        <w:t xml:space="preserve"> </w:t>
      </w:r>
      <w:r>
        <w:t xml:space="preserve">Glynn et al. (2019)</w:t>
      </w:r>
      <w:r>
        <w:t xml:space="preserve">: First, While the original QUIC items refer to perceived unpredictability either before age 12 or age 18, we adapted all items to refer to participants’ experiences before age 13. This was done to reduce cognitive load from having to mentally switch timescales between items and different scales and because the youngest eligible participants were 18 years old. Second, all items were rated on a scale of 1 (never true) to 5 (very often true) instead of the original yes/no answer format. This change was also implemented to reduce cognitive load by keeping the answer options the same between scales.</w:t>
      </w:r>
    </w:p>
    <w:p>
      <w:pPr>
        <w:pStyle w:val="BodyText"/>
      </w:pPr>
      <w:r>
        <w:t xml:space="preserve">We computed several unpredictability variables to be able to assess how they would relate to the dependent variables as well as to each other: 1) overall perceived unpredictability variable containing all eight items of the perceived unpredictability scale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2) an overal QUIC variable as the sum of all 38 items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3) five separate QUIC subscales as the sum of their sub-items (Parental monitoring and involvement: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Parental predictability:</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Parental environment: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Physical environment: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Safety and security:</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w:t>
      </w:r>
    </w:p>
    <w:p>
      <w:pPr>
        <w:pStyle w:val="Heading3"/>
      </w:pPr>
      <w:bookmarkStart w:id="35" w:name="chaos"/>
      <w:r>
        <w:t xml:space="preserve">Household chaos</w:t>
      </w:r>
      <w:bookmarkEnd w:id="35"/>
    </w:p>
    <w:p>
      <w:pPr>
        <w:pStyle w:val="FirstParagraph"/>
      </w:pPr>
      <w:r>
        <w:t xml:space="preserve">We assessed household chaos before age 13 using an adaptation of the Confusion, Hubbub, and Order Scale</w:t>
      </w:r>
      <w:r>
        <w:t xml:space="preserve"> </w:t>
      </w:r>
      <w:r>
        <w:t xml:space="preserve">(CHAOS; Matheny et al., 1995)</w:t>
      </w:r>
      <w:r>
        <w:t xml:space="preserve">. The CHAOS consists of 15 items measuring the level of chaos in the household (e.g.,</w:t>
      </w:r>
      <w:r>
        <w:t xml:space="preserve"> </w:t>
      </w:r>
      <w:r>
        <w:t xml:space="preserve">“</w:t>
      </w:r>
      <w:r>
        <w:t xml:space="preserve">No matter how hard we tried, we always seemed to be running late</w:t>
      </w:r>
      <w:r>
        <w:t xml:space="preserve">”</w:t>
      </w:r>
      <w:r>
        <w:t xml:space="preserve">; See</w:t>
      </w:r>
      <w:r>
        <w:t xml:space="preserve"> </w:t>
      </w:r>
      <w:hyperlink w:anchor="appendix">
        <w:r>
          <w:rPr>
            <w:rStyle w:val="Hyperlink"/>
          </w:rPr>
          <w:t xml:space="preserve">Table S5</w:t>
        </w:r>
      </w:hyperlink>
      <w:r>
        <w:t xml:space="preserve"> </w:t>
      </w:r>
      <w:r>
        <w:t xml:space="preserve">for an overview of all items). We made two changes to the original scale as described in</w:t>
      </w:r>
      <w:r>
        <w:t xml:space="preserve"> </w:t>
      </w:r>
      <w:r>
        <w:t xml:space="preserve">Matheny et al. (1995)</w:t>
      </w:r>
      <w:r>
        <w:t xml:space="preserve">: First, all items were converted from the present tense to the past tense, and were endorsed as applying to partipants’ life before age 13. Second, all items were rated on a scale of 1 (never true) to 5 (very often true) instead of the original yes/no answer format. This change was also implemented to reduce cognitive load by keeping the answer options the same between scales.</w:t>
      </w:r>
    </w:p>
    <w:p>
      <w:pPr>
        <w:pStyle w:val="BodyText"/>
      </w:pPr>
      <w:r>
        <w:t xml:space="preserve">An overall household chaos variable was computed by averaging the 15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6" w:name="ses"/>
      <w:r>
        <w:t xml:space="preserve">Perceived socioeconomic status</w:t>
      </w:r>
      <w:bookmarkEnd w:id="36"/>
    </w:p>
    <w:p>
      <w:pPr>
        <w:pStyle w:val="FirstParagraph"/>
      </w:pPr>
      <w:r>
        <w:t xml:space="preserve">Perceived socioeconomic status before age 13 was measured using 7 items (e.g.,</w:t>
      </w:r>
      <w:r>
        <w:t xml:space="preserve"> </w:t>
      </w:r>
      <w:r>
        <w:t xml:space="preserve">“</w:t>
      </w:r>
      <w:r>
        <w:t xml:space="preserve">Your family had enough money to afford the kind of</w:t>
      </w:r>
      <w:r>
        <w:t xml:space="preserve"> </w:t>
      </w:r>
      <w:r>
        <w:rPr>
          <w:b/>
        </w:rPr>
        <w:t xml:space="preserve">home</w:t>
      </w:r>
      <w:r>
        <w:t xml:space="preserve"> </w:t>
      </w:r>
      <w:r>
        <w:t xml:space="preserve">you all needed</w:t>
      </w:r>
      <w:r>
        <w:t xml:space="preserve">”</w:t>
      </w:r>
      <w:r>
        <w:t xml:space="preserve">; See</w:t>
      </w:r>
      <w:r>
        <w:t xml:space="preserve"> </w:t>
      </w:r>
      <w:hyperlink w:anchor="appendix">
        <w:r>
          <w:rPr>
            <w:rStyle w:val="Hyperlink"/>
          </w:rPr>
          <w:t xml:space="preserve">Table S6</w:t>
        </w:r>
      </w:hyperlink>
      <w:r>
        <w:t xml:space="preserve"> </w:t>
      </w:r>
      <w:r>
        <w:t xml:space="preserve">for an overview of all items). Participants rated each on a scale from 1 (never true) to 5 (very often true).</w:t>
      </w:r>
    </w:p>
    <w:p>
      <w:pPr>
        <w:pStyle w:val="BodyText"/>
      </w:pPr>
      <w:r>
        <w:t xml:space="preserve">The items were averaged together to create a composite scale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7" w:name="impulsivity"/>
      <w:r>
        <w:t xml:space="preserve">Impulsivity</w:t>
      </w:r>
      <w:bookmarkEnd w:id="37"/>
    </w:p>
    <w:p>
      <w:pPr>
        <w:pStyle w:val="FirstParagraph"/>
      </w:pPr>
      <w:r>
        <w:t xml:space="preserve">We assessed impulsivity with the Motor Impulsivity subscale of the</w:t>
      </w:r>
      <w:r>
        <w:t xml:space="preserve"> </w:t>
      </w:r>
      <w:r>
        <w:t xml:space="preserve">(Barrett Impulsivity Scale (BIS; short form); Patton et al., 1995; Spinella, 2007)</w:t>
      </w:r>
      <w:r>
        <w:t xml:space="preserve">. The Motor Impulsivity subscale of the BIS (short form) consists of five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S7</w:t>
        </w:r>
      </w:hyperlink>
      <w:r>
        <w:t xml:space="preserve"> </w:t>
      </w:r>
      <w:r>
        <w:t xml:space="preserve">for an overview of all items). We did not include the Non-planning subscale because it overlapped substantially with the Future Orientation Scale described below. In addition, we did not include the Attention impulsivity subscale because it included items which we deemed to be mostly irrelevant for our target population (e.g.,</w:t>
      </w:r>
      <w:r>
        <w:t xml:space="preserve"> </w:t>
      </w:r>
      <w:r>
        <w:t xml:space="preserve">“</w:t>
      </w:r>
      <w:r>
        <w:t xml:space="preserve">I</w:t>
      </w:r>
      <w:r>
        <w:t xml:space="preserve"> </w:t>
      </w:r>
      <w:r>
        <w:t xml:space="preserve">‘</w:t>
      </w:r>
      <w:r>
        <w:t xml:space="preserve">squirm</w:t>
      </w:r>
      <w:r>
        <w:t xml:space="preserve">’</w:t>
      </w:r>
      <w:r>
        <w:t xml:space="preserve"> </w:t>
      </w:r>
      <w:r>
        <w:t xml:space="preserve">at plays or lectures</w:t>
      </w:r>
      <w:r>
        <w:t xml:space="preserve">”</w:t>
      </w:r>
      <w:r>
        <w:t xml:space="preserve">). We changed the original 4-point rating scale (rarely/never to almost always) to a 5-point rating scale ranging from 1 (never true) to 5 (very often true).</w:t>
      </w:r>
    </w:p>
    <w:p>
      <w:pPr>
        <w:pStyle w:val="BodyText"/>
      </w:pPr>
      <w:r>
        <w:t xml:space="preserve">An overall impulsivity variable was computed by averaging the 5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8" w:name="future_orientation"/>
      <w:r>
        <w:t xml:space="preserve">Future Orientation</w:t>
      </w:r>
      <w:bookmarkEnd w:id="38"/>
    </w:p>
    <w:p>
      <w:pPr>
        <w:pStyle w:val="FirstParagraph"/>
      </w:pPr>
      <w:r>
        <w:t xml:space="preserve">We assessed future orientation with an adapted version of the Future Orientation Scale</w:t>
      </w:r>
      <w:r>
        <w:t xml:space="preserve"> </w:t>
      </w:r>
      <w:r>
        <w:t xml:space="preserve">(FOS; Steinberg et al., 2009)</w:t>
      </w:r>
      <w:r>
        <w:t xml:space="preserve">. The original scale consists of 15 sets of opposing items separated by</w:t>
      </w:r>
      <w:r>
        <w:t xml:space="preserve"> </w:t>
      </w:r>
      <w:r>
        <w:t xml:space="preserve">“</w:t>
      </w:r>
      <w:r>
        <w:t xml:space="preserve">BUT</w:t>
      </w:r>
      <w:r>
        <w:t xml:space="preserve">”</w:t>
      </w:r>
      <w:r>
        <w:t xml:space="preserve"> </w:t>
      </w:r>
      <w:r>
        <w:t xml:space="preserve">(e.g.,</w:t>
      </w:r>
      <w:r>
        <w:t xml:space="preserve"> </w:t>
      </w:r>
      <w:r>
        <w:t xml:space="preserve">“</w:t>
      </w:r>
      <w:r>
        <w:t xml:space="preserve">Some people like to plan things out one step at a time BUT other people like to jump right into things without planning them out beforehand</w:t>
      </w:r>
      <w:r>
        <w:t xml:space="preserve">”</w:t>
      </w:r>
      <w:r>
        <w:t xml:space="preserve">). Participants first choose the item that best matches their general preference, and then indicate whether the statement is</w:t>
      </w:r>
      <w:r>
        <w:t xml:space="preserve"> </w:t>
      </w:r>
      <w:r>
        <w:t xml:space="preserve">“</w:t>
      </w:r>
      <w:r>
        <w:t xml:space="preserve">really true</w:t>
      </w:r>
      <w:r>
        <w:t xml:space="preserve">”</w:t>
      </w:r>
      <w:r>
        <w:t xml:space="preserve"> </w:t>
      </w:r>
      <w:r>
        <w:t xml:space="preserve">or</w:t>
      </w:r>
      <w:r>
        <w:t xml:space="preserve"> </w:t>
      </w:r>
      <w:r>
        <w:t xml:space="preserve">“</w:t>
      </w:r>
      <w:r>
        <w:t xml:space="preserve">somewhat true</w:t>
      </w:r>
      <w:r>
        <w:t xml:space="preserve">”</w:t>
      </w:r>
      <w:r>
        <w:t xml:space="preserve">. We adapted this format in a couple of ways: First, we converted the two statements per item to a single statement by picking the statements in the original right-hand column. Second, we adapted the 15 statements from a third-person to a first-person format. These changes were made in an attempt to reduce the cognitive load of the items. We worried that people with less formal education or who were sitting in a noisier environment would struggle with the length of the original items. In addition, item 8 of the original scale (</w:t>
      </w:r>
      <w:r>
        <w:t xml:space="preserve">“</w:t>
      </w:r>
      <w:r>
        <w:t xml:space="preserve">[…] other people would rather spend their money right away on something fun than save it for a rainy day</w:t>
      </w:r>
      <w:r>
        <w:t xml:space="preserve">”</w:t>
      </w:r>
      <w:r>
        <w:t xml:space="preserve">) was changed to</w:t>
      </w:r>
      <w:r>
        <w:t xml:space="preserve"> </w:t>
      </w:r>
      <w:r>
        <w:t xml:space="preserve">“</w:t>
      </w:r>
      <w:r>
        <w:t xml:space="preserve">I’d rather spend money right away than save it for a rainy day</w:t>
      </w:r>
      <w:r>
        <w:t xml:space="preserve">”</w:t>
      </w:r>
      <w:r>
        <w:t xml:space="preserve"> </w:t>
      </w:r>
      <w:r>
        <w:t xml:space="preserve">(i.e., dropping the phrase</w:t>
      </w:r>
      <w:r>
        <w:t xml:space="preserve"> </w:t>
      </w:r>
      <w:r>
        <w:t xml:space="preserve">“</w:t>
      </w:r>
      <w:r>
        <w:t xml:space="preserve">on something fun</w:t>
      </w:r>
      <w:r>
        <w:t xml:space="preserve">”</w:t>
      </w:r>
      <w:r>
        <w:t xml:space="preserve">) to make it more general with regard to the thing that money is spent on. For people from adversity, spending money right now instead of saving it for the future might often be born out of necessity (e.g., having just enough food for food and shelter; being in debt) instead of a failure to delay gratification. See</w:t>
      </w:r>
      <w:r>
        <w:t xml:space="preserve"> </w:t>
      </w:r>
      <w:hyperlink w:anchor="appendix">
        <w:r>
          <w:rPr>
            <w:rStyle w:val="Hyperlink"/>
          </w:rPr>
          <w:t xml:space="preserve">Table S8</w:t>
        </w:r>
      </w:hyperlink>
      <w:r>
        <w:t xml:space="preserve"> </w:t>
      </w:r>
      <w:r>
        <w:t xml:space="preserve">for an overview of all adapted items). Finally, the rating scale was adapted from the original 4-point scale (ranging from really true for the left-hand statement to really true for the right-hand statement) to a 5-point scale ranging from 1 (never true) to 5 (very often true).</w:t>
      </w:r>
    </w:p>
    <w:p>
      <w:pPr>
        <w:pStyle w:val="BodyText"/>
      </w:pPr>
      <w:r>
        <w:t xml:space="preserve">An overall future orientation variable was computed by averaging the 15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 In addition, we calculated subscales for</w:t>
      </w:r>
      <w:r>
        <w:t xml:space="preserve"> </w:t>
      </w:r>
      <w:r>
        <w:t xml:space="preserve">“</w:t>
      </w:r>
      <w:r>
        <w:t xml:space="preserve">Planning ahead</w:t>
      </w:r>
      <w:r>
        <w:t xml:space="preserve">”</w:t>
      </w:r>
      <w:r>
        <w:t xml:space="preserve"> </w:t>
      </w:r>
      <w:r>
        <w:t xml:space="preserve">(items 1, 6, 7, 12 and 13),</w:t>
      </w:r>
      <w:r>
        <w:t xml:space="preserve"> </w:t>
      </w:r>
      <w:r>
        <w:t xml:space="preserve">“</w:t>
      </w:r>
      <w:r>
        <w:t xml:space="preserve">Time Perspective</w:t>
      </w:r>
      <w:r>
        <w:t xml:space="preserve">”</w:t>
      </w:r>
      <w:r>
        <w:t xml:space="preserve"> </w:t>
      </w:r>
      <w:r>
        <w:t xml:space="preserve">(items 2, 5, 8, 11 and 14) and</w:t>
      </w:r>
      <w:r>
        <w:t xml:space="preserve"> </w:t>
      </w:r>
      <w:r>
        <w:t xml:space="preserve">“</w:t>
      </w:r>
      <w:r>
        <w:t xml:space="preserve">Anticipation of Future Consequences</w:t>
      </w:r>
      <w:r>
        <w:t xml:space="preserve">”</w:t>
      </w:r>
      <w:r>
        <w:t xml:space="preserve"> </w:t>
      </w:r>
      <w:r>
        <w:t xml:space="preserve">(items 3, 4, 9, 10 and 15).</w:t>
      </w:r>
    </w:p>
    <w:p>
      <w:pPr>
        <w:pStyle w:val="Heading3"/>
      </w:pPr>
      <w:bookmarkStart w:id="39" w:name="depression"/>
      <w:r>
        <w:t xml:space="preserve">Depressive symptoms</w:t>
      </w:r>
      <w:bookmarkEnd w:id="39"/>
    </w:p>
    <w:p>
      <w:pPr>
        <w:pStyle w:val="FirstParagraph"/>
      </w:pPr>
      <w:r>
        <w:t xml:space="preserve">We assessed depressive symptoms during the past week using the Center for Epidemiologic Studies Depression Scale</w:t>
      </w:r>
      <w:r>
        <w:t xml:space="preserve"> </w:t>
      </w:r>
      <w:r>
        <w:t xml:space="preserve">(CESD; Radloff, 1977)</w:t>
      </w:r>
      <w:r>
        <w:t xml:space="preserve">. The scale consists of 20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S9</w:t>
        </w:r>
      </w:hyperlink>
      <w:r>
        <w:t xml:space="preserve"> </w:t>
      </w:r>
      <w:r>
        <w:t xml:space="preserve">for an overview of all items). Participants rate each item on a scale of 1 (rarely or none of the time (less than 1 day)) to 4 (most or all of the time (5-7 days)).</w:t>
      </w:r>
    </w:p>
    <w:p>
      <w:pPr>
        <w:pStyle w:val="BodyText"/>
      </w:pPr>
      <w:r>
        <w:t xml:space="preserve">Scores were recoded to range from 0 (rarely or none of the time (less than 1 day)) to 3 (most or all of the time (5-7 days)). An overall depression variable was computed by summing the 20 items (</w:t>
      </w:r>
      <w:r>
        <w:rPr>
          <w:i/>
        </w:rPr>
        <w:t xml:space="preserve">M</w:t>
      </w:r>
      <w:r>
        <w:t xml:space="preserve"> </w:t>
      </w:r>
      <w:r>
        <w:t xml:space="preserve">=</w:t>
      </w:r>
      <w:r>
        <w:t xml:space="preserve"> </w:t>
      </w:r>
      <w:r>
        <w:rPr>
          <w:rStyle w:val="VerbatimChar"/>
        </w:rPr>
        <w:t xml:space="preserve">rr #TBD</w:t>
      </w:r>
      <w:r>
        <w:t xml:space="preserve">,</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2"/>
      </w:pPr>
      <w:bookmarkStart w:id="40" w:name="primary-data-analyses-analysis_plan"/>
      <w:r>
        <w:t xml:space="preserve">Primary data analyses {analysis_plan}</w:t>
      </w:r>
      <w:bookmarkEnd w:id="40"/>
    </w:p>
    <w:p>
      <w:pPr>
        <w:pStyle w:val="Heading3"/>
      </w:pPr>
      <w:bookmarkStart w:id="41" w:name="reaction-times-rt_plan"/>
      <w:r>
        <w:t xml:space="preserve">Reaction Times {rt_plan}</w:t>
      </w:r>
      <w:bookmarkEnd w:id="41"/>
    </w:p>
    <w:p>
      <w:pPr>
        <w:pStyle w:val="FirstParagraph"/>
      </w:pPr>
      <w:r>
        <w:t xml:space="preserve">For the Cued Attention Task and Flanker Task, average reaction times per participant were calculated separately for each condition (cued/neutral trials and incongruent/congruent trials, respectively). For the change detection task, we calculated an average reaction time across all trials. If necessary for meeting model assumptions, reaction times were log-transformed. We only planned on performing analyses on the proportion of errors if the average error rate was at least 5% of trials. Note that the DDM analysis described below provides a full breakdown of performance both in terms of reaction times and accuracy. For the Cued Attention Task and Flanker Task, we performed a set of linear mixed effects analyses to test adversity X condition interactions on mean RTs and accuracy (if possible). All models included a random intercept for participants. For the Change Detection Task, we performed linear regression to test the main effect of adversity on mean RTs and accuracy (if possible). Across separate models, adversity was operationalized as the composite measures of violence exposure, SES, perceived childhood unpredictability, household chaos, and the QUIC subscales (unless they correlated &gt;.80, in which case QUIC subscales were merged together). Significant interaction effects were unpacked using simple slopes analysis.</w:t>
      </w:r>
    </w:p>
    <w:p>
      <w:pPr>
        <w:pStyle w:val="Heading3"/>
      </w:pPr>
      <w:bookmarkStart w:id="42" w:name="ddm_plan"/>
      <w:r>
        <w:t xml:space="preserve">Drift Diffusion Model</w:t>
      </w:r>
      <w:bookmarkEnd w:id="42"/>
    </w:p>
    <w:p>
      <w:pPr>
        <w:pStyle w:val="FirstParagraph"/>
      </w:pPr>
      <w:r>
        <w:t xml:space="preserve">The Drift Diffusion Model (DDM;</w:t>
      </w:r>
      <w:r>
        <w:t xml:space="preserve"> </w:t>
      </w:r>
      <w:r>
        <w:t xml:space="preserve">Ratcliff &amp; McKoon (2008)</w:t>
      </w:r>
      <w:r>
        <w:t xml:space="preserve">;</w:t>
      </w:r>
      <w:r>
        <w:t xml:space="preserve"> </w:t>
      </w:r>
      <w:r>
        <w:t xml:space="preserve">Ratcliff &amp; Childers (2015)</w:t>
      </w:r>
      <w:r>
        <w:t xml:space="preserve">) is a cognitive model that accounts for the fundamental cognitive processes underlying two-alternative forced-choice decision-making processes (2-AFC; see Figure XXX). The model assumes that the decision-making process constitutes a noisy information accumulation process that continues until one of two decision boundaries (corresponding to one of two response options) is reached. As soon as the accumulation process reaches a decision boundary, the process terminates and a motor response is initiated. The DDM recovers four parameters that map onto distinct cognitive processes</w:t>
      </w:r>
      <w:r>
        <w:t xml:space="preserve"> </w:t>
      </w:r>
      <w:r>
        <w:t xml:space="preserve">(Voss et al., 2004)</w:t>
      </w:r>
      <w:r>
        <w:t xml:space="preserve">. The accumulation process is modeled as a drift rate (</w:t>
      </w:r>
      <w:r>
        <w:rPr>
          <w:i/>
        </w:rPr>
        <w:t xml:space="preserve">v</w:t>
      </w:r>
      <w:r>
        <w:t xml:space="preserve">), reflecting basic cognitive speed/speed of information uptake. large values of</w:t>
      </w:r>
      <w:r>
        <w:t xml:space="preserve"> </w:t>
      </w:r>
      <w:r>
        <w:rPr>
          <w:i/>
        </w:rPr>
        <w:t xml:space="preserve">v</w:t>
      </w:r>
      <w:r>
        <w:t xml:space="preserve"> </w:t>
      </w:r>
      <w:r>
        <w:t xml:space="preserve">reflect more efficient processing (faster and more accurate). The starting point (</w:t>
      </w:r>
      <w:r>
        <w:rPr>
          <w:i/>
        </w:rPr>
        <w:t xml:space="preserve">z</w:t>
      </w:r>
      <w:r>
        <w:t xml:space="preserve">) reflects the starting position of the accumulation process relative to the two decision boundaries. Unless people are biased to favor one response over the other (e.g., due to a skewed reward structure), (</w:t>
      </w:r>
      <w:r>
        <w:rPr>
          <w:i/>
        </w:rPr>
        <w:t xml:space="preserve">z</w:t>
      </w:r>
      <w:r>
        <w:t xml:space="preserve">) is usually fixed to be equidistant from both decision boundaries (</w:t>
      </w:r>
      <w:r>
        <w:rPr>
          <w:i/>
        </w:rPr>
        <w:t xml:space="preserve">a</w:t>
      </w:r>
      <w:r>
        <w:t xml:space="preserve">). larger values of</w:t>
      </w:r>
      <w:r>
        <w:t xml:space="preserve"> </w:t>
      </w:r>
      <w:r>
        <w:rPr>
          <w:i/>
        </w:rPr>
        <w:t xml:space="preserve">a</w:t>
      </w:r>
      <w:r>
        <w:t xml:space="preserve"> </w:t>
      </w:r>
      <w:r>
        <w:t xml:space="preserve">indicate that the boundaries are further removed from each other, leading to more conservative responses (slower but more accurate) while smaller values of</w:t>
      </w:r>
      <w:r>
        <w:t xml:space="preserve"> </w:t>
      </w:r>
      <w:r>
        <w:rPr>
          <w:i/>
        </w:rPr>
        <w:t xml:space="preserve">a</w:t>
      </w:r>
      <w:r>
        <w:t xml:space="preserve"> </w:t>
      </w:r>
      <w:r>
        <w:t xml:space="preserve">reflect more liberal responses (faster but less accurate). Thus,</w:t>
      </w:r>
      <w:r>
        <w:t xml:space="preserve"> </w:t>
      </w:r>
      <w:r>
        <w:rPr>
          <w:i/>
        </w:rPr>
        <w:t xml:space="preserve">a</w:t>
      </w:r>
      <w:r>
        <w:t xml:space="preserve"> </w:t>
      </w:r>
      <w:r>
        <w:t xml:space="preserve">reflects the speed-accuracy trade-off made by an indidual. The fourth and final parameter is the non-decision time (</w:t>
      </w:r>
      <w:r>
        <w:rPr>
          <w:i/>
        </w:rPr>
        <w:t xml:space="preserve">Ter</w:t>
      </w:r>
      <w:r>
        <w:t xml:space="preserve">), which includes processes that are not related to the decision process (e.g., initial stimulus encoding and initiating the motor response). Importantly, the DDM parameters account for the full pattern of correct RTs, incorrect RTs, and proportion of errors.</w:t>
      </w:r>
    </w:p>
    <w:p>
      <w:pPr>
        <w:pStyle w:val="BodyText"/>
      </w:pPr>
      <w:r>
        <w:t xml:space="preserve">The DDM was fit separately to the data of each participant. For the data of the Change Detection Task and the Cued Attention Task, the DDM was fit using Fast-dm</w:t>
      </w:r>
      <w:r>
        <w:t xml:space="preserve"> </w:t>
      </w:r>
      <w:r>
        <w:t xml:space="preserve">(Voss &amp; Voss, 2007)</w:t>
      </w:r>
      <w:r>
        <w:t xml:space="preserve">. We used Maximum Likelihood estimation as it has been shown to provide reliable estimates with relatively few trials</w:t>
      </w:r>
      <w:r>
        <w:t xml:space="preserve"> </w:t>
      </w:r>
      <w:r>
        <w:t xml:space="preserve">(Lerche et al., 2017)</w:t>
      </w:r>
      <w:r>
        <w:t xml:space="preserve">; (see also our power simulations on</w:t>
      </w:r>
      <w:r>
        <w:t xml:space="preserve"> </w:t>
      </w:r>
      <w:hyperlink r:id="rId43">
        <w:r>
          <w:rPr>
            <w:rStyle w:val="Hyperlink"/>
          </w:rPr>
          <w:t xml:space="preserve">Github</w:t>
        </w:r>
      </w:hyperlink>
      <w:r>
        <w:t xml:space="preserve">).</w:t>
      </w:r>
      <w:r>
        <w:t xml:space="preserve"> </w:t>
      </w:r>
      <w:r>
        <w:rPr>
          <w:i/>
        </w:rPr>
        <w:t xml:space="preserve">a</w:t>
      </w:r>
      <w:r>
        <w:t xml:space="preserve">,</w:t>
      </w:r>
      <w:r>
        <w:t xml:space="preserve"> </w:t>
      </w:r>
      <w:r>
        <w:rPr>
          <w:i/>
        </w:rPr>
        <w:t xml:space="preserve">v</w:t>
      </w:r>
      <w:r>
        <w:t xml:space="preserve"> </w:t>
      </w:r>
      <w:r>
        <w:t xml:space="preserve">and</w:t>
      </w:r>
      <w:r>
        <w:t xml:space="preserve"> </w:t>
      </w:r>
      <w:r>
        <w:rPr>
          <w:i/>
        </w:rPr>
        <w:t xml:space="preserve">Ter</w:t>
      </w:r>
      <w:r>
        <w:t xml:space="preserve"> </w:t>
      </w:r>
      <w:r>
        <w:t xml:space="preserve">were freely estimated and</w:t>
      </w:r>
      <w:r>
        <w:t xml:space="preserve"> </w:t>
      </w:r>
      <w:r>
        <w:rPr>
          <w:i/>
        </w:rPr>
        <w:t xml:space="preserve">z</w:t>
      </w:r>
      <w:r>
        <w:t xml:space="preserve"> </w:t>
      </w:r>
      <w:r>
        <w:t xml:space="preserve">was fixed to 0.5 (the midpoint, indicating no response bias). In addition, all inter-trial variability parameters were fixed to 0 to increase model parsimony. The DDM is fit separately to the data of each individual and to separate conditions. Thus, for the Cued Attention Task, the DDM was fit separately to data of the cued and neutral condition. For the Change Detection task, the DDM was fit to all trials.</w:t>
      </w:r>
    </w:p>
    <w:p>
      <w:pPr>
        <w:pStyle w:val="BodyText"/>
      </w:pPr>
      <w:r>
        <w:t xml:space="preserve">The DDM analysis of the Flanker task was done using an adaptation of the standard DDM that was specifically developed to account for Flanker data: The Spotlight Drift Diffusion Model</w:t>
      </w:r>
      <w:r>
        <w:t xml:space="preserve"> </w:t>
      </w:r>
      <w:r>
        <w:t xml:space="preserve">(SDDM; Grange, 2016; White et al., 2018; White &amp; Curl, 2018, p. @white_2011)</w:t>
      </w:r>
      <w:r>
        <w:t xml:space="preserve">. The standard DDM model assumes a stable drift rate over time within trials (i.e., the rate of information accumulation does not change over time). However, on the Flanker Task, reaction time patterns indicate that the drift rate increases over time, thus violating the basic assumption of the standard DDM</w:t>
      </w:r>
      <w:r>
        <w:t xml:space="preserve"> </w:t>
      </w:r>
      <w:r>
        <w:t xml:space="preserve">(White et al., 2011)</w:t>
      </w:r>
      <w:r>
        <w:t xml:space="preserve">. The SDDM explains this pattern by assuming that attention on the Flanker task works like a spotlight that starts relatively broad, and then gradually narrows down to the central arrow over time. Each arrow provides perceptual input</w:t>
      </w:r>
      <w:r>
        <w:t xml:space="preserve"> </w:t>
      </w:r>
      <w:r>
        <w:rPr>
          <w:i/>
        </w:rPr>
        <w:t xml:space="preserve">p</w:t>
      </w:r>
      <w:r>
        <w:t xml:space="preserve">. If the flanking arrows are congruent, all flankers take a positive value for</w:t>
      </w:r>
      <w:r>
        <w:t xml:space="preserve"> </w:t>
      </w:r>
      <w:r>
        <w:rPr>
          <w:i/>
        </w:rPr>
        <w:t xml:space="preserve">p</w:t>
      </w:r>
      <w:r>
        <w:t xml:space="preserve">; if the flanking arrows are incongruent, they take a negative value for</w:t>
      </w:r>
      <w:r>
        <w:t xml:space="preserve"> </w:t>
      </w:r>
      <w:r>
        <w:rPr>
          <w:i/>
        </w:rPr>
        <w:t xml:space="preserve">p</w:t>
      </w:r>
      <w:r>
        <w:t xml:space="preserve"> </w:t>
      </w:r>
      <w:r>
        <w:t xml:space="preserve">while the central arrow takes a positive value. The drift rate (</w:t>
      </w:r>
      <w:r>
        <w:rPr>
          <w:i/>
        </w:rPr>
        <w:t xml:space="preserve">v</w:t>
      </w:r>
      <w:r>
        <w:t xml:space="preserve">) at each time point is the function of the strength of perceptual input</w:t>
      </w:r>
      <w:r>
        <w:t xml:space="preserve"> </w:t>
      </w:r>
      <w:r>
        <w:rPr>
          <w:i/>
        </w:rPr>
        <w:t xml:space="preserve">p</w:t>
      </w:r>
      <w:r>
        <w:t xml:space="preserve"> </w:t>
      </w:r>
      <w:r>
        <w:t xml:space="preserve">multiplied by the amount of attention focused on each arrow. Attention is operationalized by two additional parameters: the initial width of the attentional spotlight (</w:t>
      </w:r>
      <w:r>
        <w:rPr>
          <w:i/>
        </w:rPr>
        <w:t xml:space="preserve">SD</w:t>
      </w:r>
      <w:r>
        <w:rPr>
          <w:vertAlign w:val="subscript"/>
          <w:i/>
        </w:rPr>
        <w:t xml:space="preserve">a</w:t>
      </w:r>
      <w:r>
        <w:t xml:space="preserve">) and the shrinking rate of the attentional spotlight (</w:t>
      </w:r>
      <w:r>
        <w:rPr>
          <w:i/>
        </w:rPr>
        <w:t xml:space="preserve">rd</w:t>
      </w:r>
      <w:r>
        <w:t xml:space="preserve">). The attentional spotlight is assumed to be normally distributed over the arrows, with relatively more attention paid to the arrows at the center and relatively less attention paid to the peripheral arrows. Over time, this normal distribution (</w:t>
      </w:r>
      <w:r>
        <w:rPr>
          <w:i/>
        </w:rPr>
        <w:t xml:space="preserve">SD</w:t>
      </w:r>
      <w:r>
        <w:rPr>
          <w:vertAlign w:val="subscript"/>
          <w:i/>
        </w:rPr>
        <w:t xml:space="preserve">a</w:t>
      </w:r>
      <w:r>
        <w:t xml:space="preserve">) narrows down to the central arrow at the rate specified by</w:t>
      </w:r>
      <w:r>
        <w:t xml:space="preserve"> </w:t>
      </w:r>
      <w:r>
        <w:rPr>
          <w:i/>
        </w:rPr>
        <w:t xml:space="preserve">rd</w:t>
      </w:r>
      <w:r>
        <w:t xml:space="preserve">, thereby gradually decreasing the interfering effect of the flanking arrows. Note that the SDDM is based on a combined analysis of congruent and incongruent trials. See Figure 1B for a visualization of the SDDM.</w:t>
      </w:r>
    </w:p>
    <w:p>
      <w:pPr>
        <w:pStyle w:val="BodyText"/>
      </w:pPr>
      <w:r>
        <w:t xml:space="preserve">Previous research has shown that it is not useful to interpret both</w:t>
      </w:r>
      <w:r>
        <w:t xml:space="preserve"> </w:t>
      </w:r>
      <w:r>
        <w:rPr>
          <w:i/>
        </w:rPr>
        <w:t xml:space="preserve">SD</w:t>
      </w:r>
      <w:r>
        <w:rPr>
          <w:vertAlign w:val="subscript"/>
          <w:i/>
        </w:rPr>
        <w:t xml:space="preserve">a</w:t>
      </w:r>
      <w:r>
        <w:t xml:space="preserve"> </w:t>
      </w:r>
      <w:r>
        <w:t xml:space="preserve">and</w:t>
      </w:r>
      <w:r>
        <w:t xml:space="preserve"> </w:t>
      </w:r>
      <w:r>
        <w:rPr>
          <w:i/>
        </w:rPr>
        <w:t xml:space="preserve">rd</w:t>
      </w:r>
      <w:r>
        <w:t xml:space="preserve"> </w:t>
      </w:r>
      <w:r>
        <w:t xml:space="preserve">since they trade-off against each other</w:t>
      </w:r>
      <w:r>
        <w:t xml:space="preserve"> </w:t>
      </w:r>
      <w:r>
        <w:t xml:space="preserve">(i.e., a wide initial spotlight combined with a large shrinking rate leads to similar patterns as a narrow initial spotlight combined with a low shrinking rate; White et al., 2018, 2011)</w:t>
      </w:r>
      <w:r>
        <w:t xml:space="preserve">. Most previous studies have fixed</w:t>
      </w:r>
      <w:r>
        <w:t xml:space="preserve"> </w:t>
      </w:r>
      <w:r>
        <w:rPr>
          <w:i/>
        </w:rPr>
        <w:t xml:space="preserve">SD</w:t>
      </w:r>
      <w:r>
        <w:rPr>
          <w:vertAlign w:val="subscript"/>
          <w:i/>
        </w:rPr>
        <w:t xml:space="preserve">a</w:t>
      </w:r>
      <w:r>
        <w:t xml:space="preserve"> </w:t>
      </w:r>
      <w:r>
        <w:t xml:space="preserve">and only estimated</w:t>
      </w:r>
      <w:r>
        <w:t xml:space="preserve"> </w:t>
      </w:r>
      <w:r>
        <w:rPr>
          <w:i/>
        </w:rPr>
        <w:t xml:space="preserve">rd</w:t>
      </w:r>
      <w:r>
        <w:t xml:space="preserve">, or calculated a</w:t>
      </w:r>
      <w:r>
        <w:t xml:space="preserve"> </w:t>
      </w:r>
      <w:r>
        <w:rPr>
          <w:i/>
        </w:rPr>
        <w:t xml:space="preserve">SD</w:t>
      </w:r>
      <w:r>
        <w:rPr>
          <w:vertAlign w:val="subscript"/>
          <w:i/>
        </w:rPr>
        <w:t xml:space="preserve">a</w:t>
      </w:r>
      <w:r>
        <w:t xml:space="preserve">/</w:t>
      </w:r>
      <w:r>
        <w:rPr>
          <w:i/>
        </w:rPr>
        <w:t xml:space="preserve">rd</w:t>
      </w:r>
      <w:r>
        <w:t xml:space="preserve"> </w:t>
      </w:r>
      <w:r>
        <w:t xml:space="preserve">ratio, which serves as a measure of interference. However, our primary interest lies in the initial width of the attentional spotlight, which we hypothesize to be wider for people from harsh and unpredictable environments compared to people from safe and predictable environments. In this pilot study, we fitted several SDDM models either estimating both attention parameters or fixing</w:t>
      </w:r>
      <w:r>
        <w:t xml:space="preserve"> </w:t>
      </w:r>
      <w:r>
        <w:rPr>
          <w:i/>
        </w:rPr>
        <w:t xml:space="preserve">rd</w:t>
      </w:r>
      <w:r>
        <w:t xml:space="preserve"> </w:t>
      </w:r>
      <w:r>
        <w:t xml:space="preserve">to see how it affected model fit (more details below). Model fit was done using the</w:t>
      </w:r>
      <w:r>
        <w:t xml:space="preserve"> </w:t>
      </w:r>
      <w:r>
        <w:rPr>
          <w:rStyle w:val="VerbatimChar"/>
        </w:rPr>
        <w:t xml:space="preserve">flankr</w:t>
      </w:r>
      <w:r>
        <w:t xml:space="preserve"> </w:t>
      </w:r>
      <w:r>
        <w:t xml:space="preserve">package in R</w:t>
      </w:r>
      <w:r>
        <w:t xml:space="preserve"> </w:t>
      </w:r>
      <w:r>
        <w:t xml:space="preserve">(Grange, 2016)</w:t>
      </w:r>
      <w:r>
        <w:t xml:space="preserve">.</w:t>
      </w:r>
    </w:p>
    <w:p>
      <w:pPr>
        <w:pStyle w:val="BodyText"/>
      </w:pPr>
      <w:r>
        <w:t xml:space="preserve">DDM parameters</w:t>
      </w:r>
      <w:r>
        <w:t xml:space="preserve"> </w:t>
      </w:r>
      <w:r>
        <w:rPr>
          <w:i/>
        </w:rPr>
        <w:t xml:space="preserve">v</w:t>
      </w:r>
      <w:r>
        <w:t xml:space="preserve">,</w:t>
      </w:r>
      <w:r>
        <w:t xml:space="preserve"> </w:t>
      </w:r>
      <w:r>
        <w:rPr>
          <w:i/>
        </w:rPr>
        <w:t xml:space="preserve">a</w:t>
      </w:r>
      <w:r>
        <w:t xml:space="preserve"> </w:t>
      </w:r>
      <w:r>
        <w:t xml:space="preserve">and</w:t>
      </w:r>
      <w:r>
        <w:t xml:space="preserve"> </w:t>
      </w:r>
      <w:r>
        <w:rPr>
          <w:i/>
        </w:rPr>
        <w:t xml:space="preserve">Ter</w:t>
      </w:r>
      <w:r>
        <w:t xml:space="preserve"> </w:t>
      </w:r>
      <w:r>
        <w:t xml:space="preserve">(as well as</w:t>
      </w:r>
      <w:r>
        <w:t xml:space="preserve"> </w:t>
      </w:r>
      <w:r>
        <w:rPr>
          <w:i/>
        </w:rPr>
        <w:t xml:space="preserve">p</w:t>
      </w:r>
      <w:r>
        <w:t xml:space="preserve">,</w:t>
      </w:r>
      <w:r>
        <w:t xml:space="preserve"> </w:t>
      </w:r>
      <w:r>
        <w:rPr>
          <w:i/>
        </w:rPr>
        <w:t xml:space="preserve">SD</w:t>
      </w:r>
      <w:r>
        <w:rPr>
          <w:vertAlign w:val="subscript"/>
          <w:i/>
        </w:rPr>
        <w:t xml:space="preserve">a</w:t>
      </w:r>
      <w:r>
        <w:t xml:space="preserve"> </w:t>
      </w:r>
      <w:r>
        <w:t xml:space="preserve">and</w:t>
      </w:r>
      <w:r>
        <w:t xml:space="preserve"> </w:t>
      </w:r>
      <w:r>
        <w:rPr>
          <w:i/>
        </w:rPr>
        <w:t xml:space="preserve">SD</w:t>
      </w:r>
      <w:r>
        <w:rPr>
          <w:vertAlign w:val="subscript"/>
          <w:i/>
        </w:rPr>
        <w:t xml:space="preserve">a</w:t>
      </w:r>
      <w:r>
        <w:t xml:space="preserve">/</w:t>
      </w:r>
      <w:r>
        <w:rPr>
          <w:i/>
        </w:rPr>
        <w:t xml:space="preserve">rd</w:t>
      </w:r>
      <w:r>
        <w:t xml:space="preserve"> </w:t>
      </w:r>
      <w:r>
        <w:t xml:space="preserve">for the Flanker Task) were used as dependent variables in the analyses for each attention task. For the Flanker Task and Change Detection Task, DDM parameters were submitted to a series of linear regression models with adversity as the independent variable. For the Cued Attention Task, DDM parameters were submitted to linear mixed effects models to test for adversity X condition interactions. All models included a random intercept for participants. Independent adversity variables were identical to the RT/accuracy analyses. Significant interaction effects were unpacked using simple slopes analysis.</w:t>
      </w:r>
    </w:p>
    <w:p>
      <w:r>
        <w:br w:type="page"/>
      </w:r>
    </w:p>
    <w:p>
      <w:pPr>
        <w:pStyle w:val="Heading1"/>
      </w:pPr>
      <w:bookmarkStart w:id="44" w:name="refs"/>
      <w:r>
        <w:t xml:space="preserve">References</w:t>
      </w:r>
      <w:bookmarkEnd w:id="44"/>
    </w:p>
    <w:bookmarkStart w:id="112" w:name="refs"/>
    <w:bookmarkStart w:id="46" w:name="ref-chun_2011"/>
    <w:p>
      <w:pPr>
        <w:pStyle w:val="Bibliography"/>
      </w:pPr>
      <w:r>
        <w:t xml:space="preserve">Chun, M. M., Golomb, J. D., &amp; Turk-Browne, N. B. (2011). A Taxonomy of external and internal attention.</w:t>
      </w:r>
      <w:r>
        <w:t xml:space="preserve"> </w:t>
      </w:r>
      <w:r>
        <w:rPr>
          <w:i/>
        </w:rPr>
        <w:t xml:space="preserve">Annual Review of Psychology</w:t>
      </w:r>
      <w:r>
        <w:t xml:space="preserve">,</w:t>
      </w:r>
      <w:r>
        <w:t xml:space="preserve"> </w:t>
      </w:r>
      <w:r>
        <w:rPr>
          <w:i/>
        </w:rPr>
        <w:t xml:space="preserve">62</w:t>
      </w:r>
      <w:r>
        <w:t xml:space="preserve">(1), 73–101.</w:t>
      </w:r>
      <w:r>
        <w:t xml:space="preserve"> </w:t>
      </w:r>
      <w:hyperlink r:id="rId45">
        <w:r>
          <w:rPr>
            <w:rStyle w:val="Hyperlink"/>
          </w:rPr>
          <w:t xml:space="preserve">https://doi.org/10.1146/annurev.psych.093008.100427</w:t>
        </w:r>
      </w:hyperlink>
    </w:p>
    <w:bookmarkEnd w:id="46"/>
    <w:bookmarkStart w:id="48" w:name="ref-ellis_2020"/>
    <w:p>
      <w:pPr>
        <w:pStyle w:val="Bibliography"/>
      </w:pPr>
      <w:r>
        <w:t xml:space="preserve">Ellis, B., Abrams, L., Masten, A., Sternberg, R., Tottenham, N., &amp; Frankenhuis, W. (2020). Hidden talents in harsh environments.</w:t>
      </w:r>
      <w:r>
        <w:t xml:space="preserve"> </w:t>
      </w:r>
      <w:r>
        <w:rPr>
          <w:i/>
        </w:rPr>
        <w:t xml:space="preserve">Development and Psychopathology</w:t>
      </w:r>
      <w:r>
        <w:t xml:space="preserve">, 1–19.</w:t>
      </w:r>
      <w:r>
        <w:t xml:space="preserve"> </w:t>
      </w:r>
      <w:hyperlink r:id="rId47">
        <w:r>
          <w:rPr>
            <w:rStyle w:val="Hyperlink"/>
          </w:rPr>
          <w:t xml:space="preserve">https://doi.org/10.1017/S0954579420000887</w:t>
        </w:r>
      </w:hyperlink>
    </w:p>
    <w:bookmarkEnd w:id="48"/>
    <w:bookmarkStart w:id="50" w:name="ref-ellis_2009"/>
    <w:p>
      <w:pPr>
        <w:pStyle w:val="Bibliography"/>
      </w:pPr>
      <w:r>
        <w:t xml:space="preserve">Ellis, B. J., Figueredo, A. J., Brumbach, B. H., &amp; Schlomer, G. L. (2009). Fundamental dimensions of environmental risk: The impact of harsh versus unpredictable environments on the evolution and development of life history strategies.</w:t>
      </w:r>
      <w:r>
        <w:t xml:space="preserve"> </w:t>
      </w:r>
      <w:r>
        <w:rPr>
          <w:i/>
        </w:rPr>
        <w:t xml:space="preserve">Human Nature</w:t>
      </w:r>
      <w:r>
        <w:t xml:space="preserve">,</w:t>
      </w:r>
      <w:r>
        <w:t xml:space="preserve"> </w:t>
      </w:r>
      <w:r>
        <w:rPr>
          <w:i/>
        </w:rPr>
        <w:t xml:space="preserve">20</w:t>
      </w:r>
      <w:r>
        <w:t xml:space="preserve">(2), 204–268.</w:t>
      </w:r>
      <w:r>
        <w:t xml:space="preserve"> </w:t>
      </w:r>
      <w:hyperlink r:id="rId49">
        <w:r>
          <w:rPr>
            <w:rStyle w:val="Hyperlink"/>
          </w:rPr>
          <w:t xml:space="preserve">https://doi.org/https://doi.org/10.1007/s12110-009-9063-7</w:t>
        </w:r>
      </w:hyperlink>
    </w:p>
    <w:bookmarkEnd w:id="50"/>
    <w:bookmarkStart w:id="52" w:name="ref-emond_2020"/>
    <w:p>
      <w:pPr>
        <w:pStyle w:val="Bibliography"/>
      </w:pPr>
      <w:r>
        <w:t xml:space="preserve">Emond, J. A. (2020). Household chaos: A risk factor for adverse child outcomes gains attention in public health.</w:t>
      </w:r>
      <w:r>
        <w:t xml:space="preserve"> </w:t>
      </w:r>
      <w:r>
        <w:rPr>
          <w:i/>
        </w:rPr>
        <w:t xml:space="preserve">BMC Public Health</w:t>
      </w:r>
      <w:r>
        <w:t xml:space="preserve">,</w:t>
      </w:r>
      <w:r>
        <w:t xml:space="preserve"> </w:t>
      </w:r>
      <w:r>
        <w:rPr>
          <w:i/>
        </w:rPr>
        <w:t xml:space="preserve">20</w:t>
      </w:r>
      <w:r>
        <w:t xml:space="preserve">, 596.</w:t>
      </w:r>
      <w:r>
        <w:t xml:space="preserve"> </w:t>
      </w:r>
      <w:hyperlink r:id="rId51">
        <w:r>
          <w:rPr>
            <w:rStyle w:val="Hyperlink"/>
          </w:rPr>
          <w:t xml:space="preserve">https://doi.org/10.1186/s12889-020-08680-y</w:t>
        </w:r>
      </w:hyperlink>
    </w:p>
    <w:bookmarkEnd w:id="52"/>
    <w:bookmarkStart w:id="54" w:name="ref-eriksen_1974"/>
    <w:p>
      <w:pPr>
        <w:pStyle w:val="Bibliography"/>
      </w:pPr>
      <w:r>
        <w:t xml:space="preserve">Eriksen, B. A., &amp; Eriksen, C. W. (1974). Effects of noise letters upon the identification of a target letter in a nonsearch task.</w:t>
      </w:r>
      <w:r>
        <w:t xml:space="preserve"> </w:t>
      </w:r>
      <w:r>
        <w:rPr>
          <w:i/>
        </w:rPr>
        <w:t xml:space="preserve">Perception &amp; Psychophysics</w:t>
      </w:r>
      <w:r>
        <w:t xml:space="preserve">,</w:t>
      </w:r>
      <w:r>
        <w:t xml:space="preserve"> </w:t>
      </w:r>
      <w:r>
        <w:rPr>
          <w:i/>
        </w:rPr>
        <w:t xml:space="preserve">16</w:t>
      </w:r>
      <w:r>
        <w:t xml:space="preserve">(1), 143–149.</w:t>
      </w:r>
      <w:r>
        <w:t xml:space="preserve"> </w:t>
      </w:r>
      <w:hyperlink r:id="rId53">
        <w:r>
          <w:rPr>
            <w:rStyle w:val="Hyperlink"/>
          </w:rPr>
          <w:t xml:space="preserve">https://doi.org/https://doi.org/10.3758/BF03203267</w:t>
        </w:r>
      </w:hyperlink>
    </w:p>
    <w:bookmarkEnd w:id="54"/>
    <w:bookmarkStart w:id="56" w:name="ref-forstmann_2016"/>
    <w:p>
      <w:pPr>
        <w:pStyle w:val="Bibliography"/>
      </w:pPr>
      <w:r>
        <w:t xml:space="preserve">Forstmann, B. U., Ratcliff, R., &amp; Wagenmakers, E.-J. (2016). Sequential sampling models in cognitive neuroscience: Advantages, applications, and extensions.</w:t>
      </w:r>
      <w:r>
        <w:t xml:space="preserve"> </w:t>
      </w:r>
      <w:r>
        <w:rPr>
          <w:i/>
        </w:rPr>
        <w:t xml:space="preserve">Annual Review of Psychology</w:t>
      </w:r>
      <w:r>
        <w:t xml:space="preserve">,</w:t>
      </w:r>
      <w:r>
        <w:t xml:space="preserve"> </w:t>
      </w:r>
      <w:r>
        <w:rPr>
          <w:i/>
        </w:rPr>
        <w:t xml:space="preserve">67</w:t>
      </w:r>
      <w:r>
        <w:t xml:space="preserve">(1), 641–666.</w:t>
      </w:r>
      <w:r>
        <w:t xml:space="preserve"> </w:t>
      </w:r>
      <w:hyperlink r:id="rId55">
        <w:r>
          <w:rPr>
            <w:rStyle w:val="Hyperlink"/>
          </w:rPr>
          <w:t xml:space="preserve">https://doi.org/https://doi.org/10.1146/annurev-psych-122414-033645</w:t>
        </w:r>
      </w:hyperlink>
    </w:p>
    <w:bookmarkEnd w:id="56"/>
    <w:bookmarkStart w:id="58" w:name="ref-frankenhuis_2016"/>
    <w:p>
      <w:pPr>
        <w:pStyle w:val="Bibliography"/>
      </w:pPr>
      <w:r>
        <w:t xml:space="preserve">Frankenhuis, W. E., Panchanathan, K., &amp; Nettle, D. (2016). Cognition in harsh and unpredictable environments.</w:t>
      </w:r>
      <w:r>
        <w:t xml:space="preserve"> </w:t>
      </w:r>
      <w:r>
        <w:rPr>
          <w:i/>
        </w:rPr>
        <w:t xml:space="preserve">Current Opinion in Psychology</w:t>
      </w:r>
      <w:r>
        <w:t xml:space="preserve">,</w:t>
      </w:r>
      <w:r>
        <w:t xml:space="preserve"> </w:t>
      </w:r>
      <w:r>
        <w:rPr>
          <w:i/>
        </w:rPr>
        <w:t xml:space="preserve">7</w:t>
      </w:r>
      <w:r>
        <w:t xml:space="preserve">, 76–80.</w:t>
      </w:r>
      <w:r>
        <w:t xml:space="preserve"> </w:t>
      </w:r>
      <w:hyperlink r:id="rId57">
        <w:r>
          <w:rPr>
            <w:rStyle w:val="Hyperlink"/>
          </w:rPr>
          <w:t xml:space="preserve">https://doi.org/https://doi.org/10.1016/j.copsyc.2015.08.011</w:t>
        </w:r>
      </w:hyperlink>
    </w:p>
    <w:bookmarkEnd w:id="58"/>
    <w:bookmarkStart w:id="60" w:name="ref-frankenhuis_2013"/>
    <w:p>
      <w:pPr>
        <w:pStyle w:val="Bibliography"/>
      </w:pPr>
      <w:r>
        <w:t xml:space="preserve">Frankenhuis, W. E., &amp; Weerth, C. de. (2013). Does early-life exposure to stress shape or impair cognition?</w:t>
      </w:r>
      <w:r>
        <w:t xml:space="preserve"> </w:t>
      </w:r>
      <w:r>
        <w:rPr>
          <w:i/>
        </w:rPr>
        <w:t xml:space="preserve">Current Directions in Psychological Science</w:t>
      </w:r>
      <w:r>
        <w:t xml:space="preserve">,</w:t>
      </w:r>
      <w:r>
        <w:t xml:space="preserve"> </w:t>
      </w:r>
      <w:r>
        <w:rPr>
          <w:i/>
        </w:rPr>
        <w:t xml:space="preserve">22</w:t>
      </w:r>
      <w:r>
        <w:t xml:space="preserve">(5), 407–412.</w:t>
      </w:r>
      <w:r>
        <w:t xml:space="preserve"> </w:t>
      </w:r>
      <w:hyperlink r:id="rId59">
        <w:r>
          <w:rPr>
            <w:rStyle w:val="Hyperlink"/>
          </w:rPr>
          <w:t xml:space="preserve">https://doi.org/10.1177/0963721413484324</w:t>
        </w:r>
      </w:hyperlink>
    </w:p>
    <w:bookmarkEnd w:id="60"/>
    <w:bookmarkStart w:id="62" w:name="ref-glynn_2019"/>
    <w:p>
      <w:pPr>
        <w:pStyle w:val="Bibliography"/>
      </w:pPr>
      <w:r>
        <w:t xml:space="preserve">Glynn, L. M., Stern, H. S., Howland, M. A., Risbrough, V. B., Baker, D. G., Nievergelt, C. M., Baram, T. Z., &amp; Davis, E. P. (2019). Measuring novel antecedents of mental illness: The Questionnaire of Unpredictability in Childhood.</w:t>
      </w:r>
      <w:r>
        <w:t xml:space="preserve"> </w:t>
      </w:r>
      <w:r>
        <w:rPr>
          <w:i/>
        </w:rPr>
        <w:t xml:space="preserve">Neuropsychopharmacology</w:t>
      </w:r>
      <w:r>
        <w:t xml:space="preserve">,</w:t>
      </w:r>
      <w:r>
        <w:t xml:space="preserve"> </w:t>
      </w:r>
      <w:r>
        <w:rPr>
          <w:i/>
        </w:rPr>
        <w:t xml:space="preserve">44</w:t>
      </w:r>
      <w:r>
        <w:t xml:space="preserve">(5), 876–882.</w:t>
      </w:r>
      <w:r>
        <w:t xml:space="preserve"> </w:t>
      </w:r>
      <w:hyperlink r:id="rId61">
        <w:r>
          <w:rPr>
            <w:rStyle w:val="Hyperlink"/>
          </w:rPr>
          <w:t xml:space="preserve">https://doi.org/10.1038/s41386-018-0280-9</w:t>
        </w:r>
      </w:hyperlink>
    </w:p>
    <w:bookmarkEnd w:id="62"/>
    <w:bookmarkStart w:id="64" w:name="ref-grange_2016"/>
    <w:p>
      <w:pPr>
        <w:pStyle w:val="Bibliography"/>
      </w:pPr>
      <w:r>
        <w:t xml:space="preserve">Grange, J. A. (2016). Flankr: An R package implementing computational models of attentional selectivity.</w:t>
      </w:r>
      <w:r>
        <w:t xml:space="preserve"> </w:t>
      </w:r>
      <w:r>
        <w:rPr>
          <w:i/>
        </w:rPr>
        <w:t xml:space="preserve">Behavior Research Methods</w:t>
      </w:r>
      <w:r>
        <w:t xml:space="preserve">,</w:t>
      </w:r>
      <w:r>
        <w:t xml:space="preserve"> </w:t>
      </w:r>
      <w:r>
        <w:rPr>
          <w:i/>
        </w:rPr>
        <w:t xml:space="preserve">48</w:t>
      </w:r>
      <w:r>
        <w:t xml:space="preserve">(2), 528–541.</w:t>
      </w:r>
      <w:r>
        <w:t xml:space="preserve"> </w:t>
      </w:r>
      <w:hyperlink r:id="rId63">
        <w:r>
          <w:rPr>
            <w:rStyle w:val="Hyperlink"/>
          </w:rPr>
          <w:t xml:space="preserve">https://doi.org/10.3758/s13428-015-0615-y</w:t>
        </w:r>
      </w:hyperlink>
    </w:p>
    <w:bookmarkEnd w:id="64"/>
    <w:bookmarkStart w:id="66" w:name="ref-deLeeuw_2015"/>
    <w:p>
      <w:pPr>
        <w:pStyle w:val="Bibliography"/>
      </w:pPr>
      <w:r>
        <w:t xml:space="preserve">Leeuw, J. R. de. (2015). jsPsych: A JavaScript library for creating behavioral experiments in a Web browser.</w:t>
      </w:r>
      <w:r>
        <w:t xml:space="preserve"> </w:t>
      </w:r>
      <w:r>
        <w:rPr>
          <w:i/>
        </w:rPr>
        <w:t xml:space="preserve">Behavior Research Methods</w:t>
      </w:r>
      <w:r>
        <w:t xml:space="preserve">,</w:t>
      </w:r>
      <w:r>
        <w:t xml:space="preserve"> </w:t>
      </w:r>
      <w:r>
        <w:rPr>
          <w:i/>
        </w:rPr>
        <w:t xml:space="preserve">47</w:t>
      </w:r>
      <w:r>
        <w:t xml:space="preserve">(1), 1–12.</w:t>
      </w:r>
      <w:r>
        <w:t xml:space="preserve"> </w:t>
      </w:r>
      <w:hyperlink r:id="rId65">
        <w:r>
          <w:rPr>
            <w:rStyle w:val="Hyperlink"/>
          </w:rPr>
          <w:t xml:space="preserve">https://doi.org/10.3758/s13428-014-0458-y</w:t>
        </w:r>
      </w:hyperlink>
    </w:p>
    <w:bookmarkEnd w:id="66"/>
    <w:bookmarkStart w:id="68" w:name="ref-lerche_2017"/>
    <w:p>
      <w:pPr>
        <w:pStyle w:val="Bibliography"/>
      </w:pPr>
      <w:r>
        <w:t xml:space="preserve">Lerche, V., Voss, A., &amp; Nagler, M. (2017). How many trials are required for parameter estimation in diffusion modeling? A comparison of different optimization criteria.</w:t>
      </w:r>
      <w:r>
        <w:t xml:space="preserve"> </w:t>
      </w:r>
      <w:r>
        <w:rPr>
          <w:i/>
        </w:rPr>
        <w:t xml:space="preserve">Behavior Research Methods</w:t>
      </w:r>
      <w:r>
        <w:t xml:space="preserve">,</w:t>
      </w:r>
      <w:r>
        <w:t xml:space="preserve"> </w:t>
      </w:r>
      <w:r>
        <w:rPr>
          <w:i/>
        </w:rPr>
        <w:t xml:space="preserve">49</w:t>
      </w:r>
      <w:r>
        <w:t xml:space="preserve">(2), 513–537.</w:t>
      </w:r>
      <w:r>
        <w:t xml:space="preserve"> </w:t>
      </w:r>
      <w:hyperlink r:id="rId67">
        <w:r>
          <w:rPr>
            <w:rStyle w:val="Hyperlink"/>
          </w:rPr>
          <w:t xml:space="preserve">https://doi.org/10.3758/s13428-016-0740-2</w:t>
        </w:r>
      </w:hyperlink>
    </w:p>
    <w:bookmarkEnd w:id="68"/>
    <w:bookmarkStart w:id="70" w:name="ref-matheny_1995"/>
    <w:p>
      <w:pPr>
        <w:pStyle w:val="Bibliography"/>
      </w:pPr>
      <w:r>
        <w:t xml:space="preserve">Matheny, A. P., Wachs, T. D., Ludwig, J. L., &amp; Phillips, K. (1995). Bringing order out of chaos: Psychometric characteristics of the confusion, hubbub, and order scale.</w:t>
      </w:r>
      <w:r>
        <w:t xml:space="preserve"> </w:t>
      </w:r>
      <w:r>
        <w:rPr>
          <w:i/>
        </w:rPr>
        <w:t xml:space="preserve">Journal of Applied Developmental Psychology</w:t>
      </w:r>
      <w:r>
        <w:t xml:space="preserve">,</w:t>
      </w:r>
      <w:r>
        <w:t xml:space="preserve"> </w:t>
      </w:r>
      <w:r>
        <w:rPr>
          <w:i/>
        </w:rPr>
        <w:t xml:space="preserve">16</w:t>
      </w:r>
      <w:r>
        <w:t xml:space="preserve">(3), 429–444.</w:t>
      </w:r>
      <w:r>
        <w:t xml:space="preserve"> </w:t>
      </w:r>
      <w:hyperlink r:id="rId69">
        <w:r>
          <w:rPr>
            <w:rStyle w:val="Hyperlink"/>
          </w:rPr>
          <w:t xml:space="preserve">https://doi.org/10.1016/0193-3973(95)90028-4</w:t>
        </w:r>
      </w:hyperlink>
    </w:p>
    <w:bookmarkEnd w:id="70"/>
    <w:bookmarkStart w:id="72" w:name="ref-mittal_2015"/>
    <w:p>
      <w:pPr>
        <w:pStyle w:val="Bibliography"/>
      </w:pPr>
      <w:r>
        <w:t xml:space="preserve">Mittal, C., Griskevicius, V., Simpson, J. A., Sung, S., &amp; Young, E. S. (2015). Cognitive adaptations to stressful environments: When childhood adversity enhances adult executive function.</w:t>
      </w:r>
      <w:r>
        <w:t xml:space="preserve"> </w:t>
      </w:r>
      <w:r>
        <w:rPr>
          <w:i/>
        </w:rPr>
        <w:t xml:space="preserve">Journal of Personality and Social Psychology</w:t>
      </w:r>
      <w:r>
        <w:t xml:space="preserve">,</w:t>
      </w:r>
      <w:r>
        <w:t xml:space="preserve"> </w:t>
      </w:r>
      <w:r>
        <w:rPr>
          <w:i/>
        </w:rPr>
        <w:t xml:space="preserve">109</w:t>
      </w:r>
      <w:r>
        <w:t xml:space="preserve">(4), 604–621.</w:t>
      </w:r>
      <w:r>
        <w:t xml:space="preserve"> </w:t>
      </w:r>
      <w:hyperlink r:id="rId71">
        <w:r>
          <w:rPr>
            <w:rStyle w:val="Hyperlink"/>
          </w:rPr>
          <w:t xml:space="preserve">https://doi.org/10.1037/pspi0000028</w:t>
        </w:r>
      </w:hyperlink>
    </w:p>
    <w:bookmarkEnd w:id="72"/>
    <w:bookmarkStart w:id="74" w:name="ref-nivison_2021"/>
    <w:p>
      <w:pPr>
        <w:pStyle w:val="Bibliography"/>
      </w:pPr>
      <w:r>
        <w:t xml:space="preserve">Nivison, M. D., Vandell, D. L., Booth-LaForce, C., &amp; Roisman, G. I. (2021). Convergent and discriminant validity of retrospective assessments of the quality of childhood parenting: Prospective evidence from infancy to age 26 years.</w:t>
      </w:r>
      <w:r>
        <w:t xml:space="preserve"> </w:t>
      </w:r>
      <w:r>
        <w:rPr>
          <w:i/>
        </w:rPr>
        <w:t xml:space="preserve">Psychological Science</w:t>
      </w:r>
      <w:r>
        <w:t xml:space="preserve">,</w:t>
      </w:r>
      <w:r>
        <w:t xml:space="preserve"> </w:t>
      </w:r>
      <w:r>
        <w:rPr>
          <w:i/>
        </w:rPr>
        <w:t xml:space="preserve">32</w:t>
      </w:r>
      <w:r>
        <w:t xml:space="preserve">(5), 721–734.</w:t>
      </w:r>
      <w:r>
        <w:t xml:space="preserve"> </w:t>
      </w:r>
      <w:hyperlink r:id="rId73">
        <w:r>
          <w:rPr>
            <w:rStyle w:val="Hyperlink"/>
          </w:rPr>
          <w:t xml:space="preserve">https://doi.org/https://doi.org/10.1177/0956797620975775</w:t>
        </w:r>
      </w:hyperlink>
    </w:p>
    <w:bookmarkEnd w:id="74"/>
    <w:bookmarkStart w:id="76" w:name="ref-patton_1995"/>
    <w:p>
      <w:pPr>
        <w:pStyle w:val="Bibliography"/>
      </w:pPr>
      <w:r>
        <w:t xml:space="preserve">Patton, J. H., Stanford, M. S., &amp; Barratt, E. S. (1995). Factor structure of the Barratt impulsiveness scale.</w:t>
      </w:r>
      <w:r>
        <w:t xml:space="preserve"> </w:t>
      </w:r>
      <w:r>
        <w:rPr>
          <w:i/>
        </w:rPr>
        <w:t xml:space="preserve">Journal of Clinical Psychology</w:t>
      </w:r>
      <w:r>
        <w:t xml:space="preserve">,</w:t>
      </w:r>
      <w:r>
        <w:t xml:space="preserve"> </w:t>
      </w:r>
      <w:r>
        <w:rPr>
          <w:i/>
        </w:rPr>
        <w:t xml:space="preserve">51</w:t>
      </w:r>
      <w:r>
        <w:t xml:space="preserve">(6), 768–774.</w:t>
      </w:r>
      <w:r>
        <w:t xml:space="preserve"> </w:t>
      </w:r>
      <w:hyperlink r:id="rId75">
        <w:r>
          <w:rPr>
            <w:rStyle w:val="Hyperlink"/>
          </w:rPr>
          <w:t xml:space="preserve">https://doi.org/10.1002/1097-4679(199511)51:6%3C768::AID-JCLP2270510607%3E3.0.CO;2-1</w:t>
        </w:r>
      </w:hyperlink>
    </w:p>
    <w:bookmarkEnd w:id="76"/>
    <w:bookmarkStart w:id="78" w:name="ref-pollak_2002"/>
    <w:p>
      <w:pPr>
        <w:pStyle w:val="Bibliography"/>
      </w:pPr>
      <w:r>
        <w:t xml:space="preserve">Pollak, S. D., Messner, M., Kistler, D. J., &amp; Cohn, J. F. (2002). Development of perceptual expertise in emotion recognition.</w:t>
      </w:r>
      <w:r>
        <w:t xml:space="preserve"> </w:t>
      </w:r>
      <w:r>
        <w:rPr>
          <w:i/>
        </w:rPr>
        <w:t xml:space="preserve">Cognition</w:t>
      </w:r>
      <w:r>
        <w:t xml:space="preserve">,</w:t>
      </w:r>
      <w:r>
        <w:t xml:space="preserve"> </w:t>
      </w:r>
      <w:r>
        <w:rPr>
          <w:i/>
        </w:rPr>
        <w:t xml:space="preserve">110</w:t>
      </w:r>
      <w:r>
        <w:t xml:space="preserve">(2), 242–247.</w:t>
      </w:r>
      <w:r>
        <w:t xml:space="preserve"> </w:t>
      </w:r>
      <w:hyperlink r:id="rId77">
        <w:r>
          <w:rPr>
            <w:rStyle w:val="Hyperlink"/>
          </w:rPr>
          <w:t xml:space="preserve">https://doi.org/https://doi.org/10.1016/j.cognition.2008.10.010</w:t>
        </w:r>
      </w:hyperlink>
    </w:p>
    <w:bookmarkEnd w:id="78"/>
    <w:bookmarkStart w:id="80" w:name="ref-posner_1980"/>
    <w:p>
      <w:pPr>
        <w:pStyle w:val="Bibliography"/>
      </w:pPr>
      <w:r>
        <w:t xml:space="preserve">Posner, M. I. (1980). ‪Orienting of attention‬.</w:t>
      </w:r>
      <w:r>
        <w:t xml:space="preserve"> </w:t>
      </w:r>
      <w:r>
        <w:rPr>
          <w:i/>
        </w:rPr>
        <w:t xml:space="preserve">Quarterly Journal of Experimental Psychology</w:t>
      </w:r>
      <w:r>
        <w:t xml:space="preserve">,</w:t>
      </w:r>
      <w:r>
        <w:t xml:space="preserve"> </w:t>
      </w:r>
      <w:r>
        <w:rPr>
          <w:i/>
        </w:rPr>
        <w:t xml:space="preserve">32</w:t>
      </w:r>
      <w:r>
        <w:t xml:space="preserve">(2), 3–25.</w:t>
      </w:r>
      <w:r>
        <w:t xml:space="preserve"> </w:t>
      </w:r>
      <w:hyperlink r:id="rId79">
        <w:r>
          <w:rPr>
            <w:rStyle w:val="Hyperlink"/>
          </w:rPr>
          <w:t xml:space="preserve">https://doi.org/https://doi.org/10.1080/00335558008248231</w:t>
        </w:r>
      </w:hyperlink>
    </w:p>
    <w:bookmarkEnd w:id="80"/>
    <w:bookmarkStart w:id="82" w:name="ref-radloff_1977"/>
    <w:p>
      <w:pPr>
        <w:pStyle w:val="Bibliography"/>
      </w:pPr>
      <w:r>
        <w:t xml:space="preserve">Radloff, L. S. (1977). The CES-D scale: A self-report depression scale for research in the general population.</w:t>
      </w:r>
      <w:r>
        <w:t xml:space="preserve"> </w:t>
      </w:r>
      <w:r>
        <w:rPr>
          <w:i/>
        </w:rPr>
        <w:t xml:space="preserve">Applied Psychological Measurement</w:t>
      </w:r>
      <w:r>
        <w:t xml:space="preserve">,</w:t>
      </w:r>
      <w:r>
        <w:t xml:space="preserve"> </w:t>
      </w:r>
      <w:r>
        <w:rPr>
          <w:i/>
        </w:rPr>
        <w:t xml:space="preserve">1</w:t>
      </w:r>
      <w:r>
        <w:t xml:space="preserve">(3), 385–401.</w:t>
      </w:r>
      <w:r>
        <w:t xml:space="preserve"> </w:t>
      </w:r>
      <w:hyperlink r:id="rId81">
        <w:r>
          <w:rPr>
            <w:rStyle w:val="Hyperlink"/>
          </w:rPr>
          <w:t xml:space="preserve">https://doi.org/https://doi.org/10.1177/014662167700100306</w:t>
        </w:r>
      </w:hyperlink>
    </w:p>
    <w:bookmarkEnd w:id="82"/>
    <w:bookmarkStart w:id="84" w:name="ref-ratcliff_2015"/>
    <w:p>
      <w:pPr>
        <w:pStyle w:val="Bibliography"/>
      </w:pPr>
      <w:r>
        <w:t xml:space="preserve">Ratcliff, R., &amp; Childers, R. (2015). Individual differences and fitting methods for the two-choice diffusion model of decision making.</w:t>
      </w:r>
      <w:r>
        <w:t xml:space="preserve"> </w:t>
      </w:r>
      <w:r>
        <w:rPr>
          <w:i/>
        </w:rPr>
        <w:t xml:space="preserve">Decision</w:t>
      </w:r>
      <w:r>
        <w:t xml:space="preserve">,</w:t>
      </w:r>
      <w:r>
        <w:t xml:space="preserve"> </w:t>
      </w:r>
      <w:r>
        <w:rPr>
          <w:i/>
        </w:rPr>
        <w:t xml:space="preserve">2</w:t>
      </w:r>
      <w:r>
        <w:t xml:space="preserve">(4), 237–279.</w:t>
      </w:r>
      <w:r>
        <w:t xml:space="preserve"> </w:t>
      </w:r>
      <w:hyperlink r:id="rId83">
        <w:r>
          <w:rPr>
            <w:rStyle w:val="Hyperlink"/>
          </w:rPr>
          <w:t xml:space="preserve">https://doi.org/https://doi.org/10.1037/dec0000030</w:t>
        </w:r>
      </w:hyperlink>
    </w:p>
    <w:bookmarkEnd w:id="84"/>
    <w:bookmarkStart w:id="86" w:name="ref-ratcliff_2008"/>
    <w:p>
      <w:pPr>
        <w:pStyle w:val="Bibliography"/>
      </w:pPr>
      <w:r>
        <w:t xml:space="preserve">Ratcliff, R., &amp; McKoon, G. (2008). The diffusion decision model: Theory and data for two-choice decision tasks.</w:t>
      </w:r>
      <w:r>
        <w:t xml:space="preserve"> </w:t>
      </w:r>
      <w:r>
        <w:rPr>
          <w:i/>
        </w:rPr>
        <w:t xml:space="preserve">Neural Computation</w:t>
      </w:r>
      <w:r>
        <w:t xml:space="preserve">,</w:t>
      </w:r>
      <w:r>
        <w:t xml:space="preserve"> </w:t>
      </w:r>
      <w:r>
        <w:rPr>
          <w:i/>
        </w:rPr>
        <w:t xml:space="preserve">20</w:t>
      </w:r>
      <w:r>
        <w:t xml:space="preserve">(4), 873–922.</w:t>
      </w:r>
      <w:r>
        <w:t xml:space="preserve"> </w:t>
      </w:r>
      <w:hyperlink r:id="rId85">
        <w:r>
          <w:rPr>
            <w:rStyle w:val="Hyperlink"/>
          </w:rPr>
          <w:t xml:space="preserve">https://doi.org/10.1162/neco.2008.12-06-420</w:t>
        </w:r>
      </w:hyperlink>
    </w:p>
    <w:bookmarkEnd w:id="86"/>
    <w:bookmarkStart w:id="88" w:name="ref-salthouse_2010"/>
    <w:p>
      <w:pPr>
        <w:pStyle w:val="Bibliography"/>
      </w:pPr>
      <w:r>
        <w:t xml:space="preserve">Salthouse, T. A. (2010). Selective review of cognitive aging.</w:t>
      </w:r>
      <w:r>
        <w:t xml:space="preserve"> </w:t>
      </w:r>
      <w:r>
        <w:rPr>
          <w:i/>
        </w:rPr>
        <w:t xml:space="preserve">Journal of the International Neuropsychological Society</w:t>
      </w:r>
      <w:r>
        <w:t xml:space="preserve">,</w:t>
      </w:r>
      <w:r>
        <w:t xml:space="preserve"> </w:t>
      </w:r>
      <w:r>
        <w:rPr>
          <w:i/>
        </w:rPr>
        <w:t xml:space="preserve">16</w:t>
      </w:r>
      <w:r>
        <w:t xml:space="preserve">(5), 754–760.</w:t>
      </w:r>
      <w:r>
        <w:t xml:space="preserve"> </w:t>
      </w:r>
      <w:hyperlink r:id="rId87">
        <w:r>
          <w:rPr>
            <w:rStyle w:val="Hyperlink"/>
          </w:rPr>
          <w:t xml:space="preserve">https://doi.org/10.1017/S1355617710000706</w:t>
        </w:r>
      </w:hyperlink>
    </w:p>
    <w:bookmarkEnd w:id="88"/>
    <w:bookmarkStart w:id="89" w:name="ref-spielberger_1999"/>
    <w:p>
      <w:pPr>
        <w:pStyle w:val="Bibliography"/>
      </w:pPr>
      <w:r>
        <w:t xml:space="preserve">Spielberger, C. D., Sydeman, S. J., Owen, A. E., &amp; Marsh, B. J. (1999). Measuring anxiety and anger with the State-Trait Anxiety Inventory (STAI) and the State-Trait Anger Expression Inventory (STAXI). In</w:t>
      </w:r>
      <w:r>
        <w:t xml:space="preserve"> </w:t>
      </w:r>
      <w:r>
        <w:rPr>
          <w:i/>
        </w:rPr>
        <w:t xml:space="preserve">The use of psychological testing for treatment planning and outcomes assessment, 2nd ed</w:t>
      </w:r>
      <w:r>
        <w:t xml:space="preserve"> </w:t>
      </w:r>
      <w:r>
        <w:t xml:space="preserve">(pp. 993–1021). Lawrence Erlbaum Associates Publishers.</w:t>
      </w:r>
    </w:p>
    <w:bookmarkEnd w:id="89"/>
    <w:bookmarkStart w:id="91" w:name="ref-spinella_2007"/>
    <w:p>
      <w:pPr>
        <w:pStyle w:val="Bibliography"/>
      </w:pPr>
      <w:r>
        <w:t xml:space="preserve">Spinella, M. (2007). Normative data and a short form of the Barratt Impulsiveness Scale.</w:t>
      </w:r>
      <w:r>
        <w:t xml:space="preserve"> </w:t>
      </w:r>
      <w:r>
        <w:rPr>
          <w:i/>
        </w:rPr>
        <w:t xml:space="preserve">International Journal of Neuroscience</w:t>
      </w:r>
      <w:r>
        <w:t xml:space="preserve">,</w:t>
      </w:r>
      <w:r>
        <w:t xml:space="preserve"> </w:t>
      </w:r>
      <w:r>
        <w:rPr>
          <w:i/>
        </w:rPr>
        <w:t xml:space="preserve">117</w:t>
      </w:r>
      <w:r>
        <w:t xml:space="preserve">(3), 359–368.</w:t>
      </w:r>
      <w:r>
        <w:t xml:space="preserve"> </w:t>
      </w:r>
      <w:hyperlink r:id="rId90">
        <w:r>
          <w:rPr>
            <w:rStyle w:val="Hyperlink"/>
          </w:rPr>
          <w:t xml:space="preserve">https://doi.org/10.1080/00207450600588881</w:t>
        </w:r>
      </w:hyperlink>
    </w:p>
    <w:bookmarkEnd w:id="91"/>
    <w:bookmarkStart w:id="93" w:name="ref-steinberg_2009"/>
    <w:p>
      <w:pPr>
        <w:pStyle w:val="Bibliography"/>
      </w:pPr>
      <w:r>
        <w:t xml:space="preserve">Steinberg, L., Graham, S., O’Brien, L., Woolard, J., Cauffman, E., &amp; Banich, M. (2009). Age differences in future orientation and delay discounting.</w:t>
      </w:r>
      <w:r>
        <w:t xml:space="preserve"> </w:t>
      </w:r>
      <w:r>
        <w:rPr>
          <w:i/>
        </w:rPr>
        <w:t xml:space="preserve">Child Development</w:t>
      </w:r>
      <w:r>
        <w:t xml:space="preserve">,</w:t>
      </w:r>
      <w:r>
        <w:t xml:space="preserve"> </w:t>
      </w:r>
      <w:r>
        <w:rPr>
          <w:i/>
        </w:rPr>
        <w:t xml:space="preserve">80</w:t>
      </w:r>
      <w:r>
        <w:t xml:space="preserve">(1), 28–44.</w:t>
      </w:r>
      <w:r>
        <w:t xml:space="preserve"> </w:t>
      </w:r>
      <w:hyperlink r:id="rId92">
        <w:r>
          <w:rPr>
            <w:rStyle w:val="Hyperlink"/>
          </w:rPr>
          <w:t xml:space="preserve">https://doi.org/https://doi.org/10.1111/j.1467-8624.2008.01244.x</w:t>
        </w:r>
      </w:hyperlink>
    </w:p>
    <w:bookmarkEnd w:id="93"/>
    <w:bookmarkStart w:id="95" w:name="ref-thompson_2021"/>
    <w:p>
      <w:pPr>
        <w:pStyle w:val="Bibliography"/>
      </w:pPr>
      <w:r>
        <w:t xml:space="preserve">Thompson, A., &amp; Steinbeis, N. (2021). Computational modelling of attentional bias towards threat in paediatric anxiety.</w:t>
      </w:r>
      <w:r>
        <w:t xml:space="preserve"> </w:t>
      </w:r>
      <w:r>
        <w:rPr>
          <w:i/>
        </w:rPr>
        <w:t xml:space="preserve">Developmental Science</w:t>
      </w:r>
      <w:r>
        <w:t xml:space="preserve">,</w:t>
      </w:r>
      <w:r>
        <w:t xml:space="preserve"> </w:t>
      </w:r>
      <w:r>
        <w:rPr>
          <w:i/>
        </w:rPr>
        <w:t xml:space="preserve">24</w:t>
      </w:r>
      <w:r>
        <w:t xml:space="preserve">(3), e13055.</w:t>
      </w:r>
      <w:r>
        <w:t xml:space="preserve"> </w:t>
      </w:r>
      <w:hyperlink r:id="rId94">
        <w:r>
          <w:rPr>
            <w:rStyle w:val="Hyperlink"/>
          </w:rPr>
          <w:t xml:space="preserve">https://doi.org/https://doi.org/10.1111/desc.13055</w:t>
        </w:r>
      </w:hyperlink>
    </w:p>
    <w:bookmarkEnd w:id="95"/>
    <w:bookmarkStart w:id="97" w:name="ref-voss_2004"/>
    <w:p>
      <w:pPr>
        <w:pStyle w:val="Bibliography"/>
      </w:pPr>
      <w:r>
        <w:t xml:space="preserve">Voss, A., Rothermund, K., &amp; Voss, J. (2004). Interpreting the parameters of the diffusion model: An empirical validation.</w:t>
      </w:r>
      <w:r>
        <w:t xml:space="preserve"> </w:t>
      </w:r>
      <w:r>
        <w:rPr>
          <w:i/>
        </w:rPr>
        <w:t xml:space="preserve">Memory &amp; Cognition</w:t>
      </w:r>
      <w:r>
        <w:t xml:space="preserve">,</w:t>
      </w:r>
      <w:r>
        <w:t xml:space="preserve"> </w:t>
      </w:r>
      <w:r>
        <w:rPr>
          <w:i/>
        </w:rPr>
        <w:t xml:space="preserve">32</w:t>
      </w:r>
      <w:r>
        <w:t xml:space="preserve">(7), 1206–1220.</w:t>
      </w:r>
      <w:r>
        <w:t xml:space="preserve"> </w:t>
      </w:r>
      <w:hyperlink r:id="rId96">
        <w:r>
          <w:rPr>
            <w:rStyle w:val="Hyperlink"/>
          </w:rPr>
          <w:t xml:space="preserve">https://doi.org/10.3758/BF03196893</w:t>
        </w:r>
      </w:hyperlink>
    </w:p>
    <w:bookmarkEnd w:id="97"/>
    <w:bookmarkStart w:id="99" w:name="ref-voss_2007"/>
    <w:p>
      <w:pPr>
        <w:pStyle w:val="Bibliography"/>
      </w:pPr>
      <w:r>
        <w:t xml:space="preserve">Voss, A., &amp; Voss, J. (2007). Fast-dm: A free program for efficient diffusion model analysis.</w:t>
      </w:r>
      <w:r>
        <w:t xml:space="preserve"> </w:t>
      </w:r>
      <w:r>
        <w:rPr>
          <w:i/>
        </w:rPr>
        <w:t xml:space="preserve">Behavior Research Methods</w:t>
      </w:r>
      <w:r>
        <w:t xml:space="preserve">,</w:t>
      </w:r>
      <w:r>
        <w:t xml:space="preserve"> </w:t>
      </w:r>
      <w:r>
        <w:rPr>
          <w:i/>
        </w:rPr>
        <w:t xml:space="preserve">39</w:t>
      </w:r>
      <w:r>
        <w:t xml:space="preserve">(4), 767–775.</w:t>
      </w:r>
      <w:r>
        <w:t xml:space="preserve"> </w:t>
      </w:r>
      <w:hyperlink r:id="rId98">
        <w:r>
          <w:rPr>
            <w:rStyle w:val="Hyperlink"/>
          </w:rPr>
          <w:t xml:space="preserve">https://doi.org/https://doi.org/10.3758/BF03192967</w:t>
        </w:r>
      </w:hyperlink>
    </w:p>
    <w:bookmarkEnd w:id="99"/>
    <w:bookmarkStart w:id="101" w:name="ref-warm_2008"/>
    <w:p>
      <w:pPr>
        <w:pStyle w:val="Bibliography"/>
      </w:pPr>
      <w:r>
        <w:t xml:space="preserve">Warm, J. S., Parasuraman, R., &amp; Matthews, G. (2008). Vigilance requires hard mental work and is stressful.</w:t>
      </w:r>
      <w:r>
        <w:t xml:space="preserve"> </w:t>
      </w:r>
      <w:r>
        <w:rPr>
          <w:i/>
        </w:rPr>
        <w:t xml:space="preserve">Human Factors</w:t>
      </w:r>
      <w:r>
        <w:t xml:space="preserve">,</w:t>
      </w:r>
      <w:r>
        <w:t xml:space="preserve"> </w:t>
      </w:r>
      <w:r>
        <w:rPr>
          <w:i/>
        </w:rPr>
        <w:t xml:space="preserve">50</w:t>
      </w:r>
      <w:r>
        <w:t xml:space="preserve">(3), 433–441.</w:t>
      </w:r>
      <w:r>
        <w:t xml:space="preserve"> </w:t>
      </w:r>
      <w:hyperlink r:id="rId100">
        <w:r>
          <w:rPr>
            <w:rStyle w:val="Hyperlink"/>
          </w:rPr>
          <w:t xml:space="preserve">https://doi.org/10.1518/001872008X312152</w:t>
        </w:r>
      </w:hyperlink>
    </w:p>
    <w:bookmarkEnd w:id="101"/>
    <w:bookmarkStart w:id="103" w:name="ref-white_2018b"/>
    <w:p>
      <w:pPr>
        <w:pStyle w:val="Bibliography"/>
      </w:pPr>
      <w:r>
        <w:t xml:space="preserve">White, C. N., &amp; Curl, R. (2018). Cueing effects in the Attentional Network Test: A Spotlight Diffusion Model analysis.</w:t>
      </w:r>
      <w:r>
        <w:t xml:space="preserve"> </w:t>
      </w:r>
      <w:r>
        <w:rPr>
          <w:i/>
        </w:rPr>
        <w:t xml:space="preserve">Computational Brain &amp; Behavior</w:t>
      </w:r>
      <w:r>
        <w:t xml:space="preserve">,</w:t>
      </w:r>
      <w:r>
        <w:t xml:space="preserve"> </w:t>
      </w:r>
      <w:r>
        <w:rPr>
          <w:i/>
        </w:rPr>
        <w:t xml:space="preserve">1</w:t>
      </w:r>
      <w:r>
        <w:t xml:space="preserve">(1), 59–68.</w:t>
      </w:r>
      <w:r>
        <w:t xml:space="preserve"> </w:t>
      </w:r>
      <w:hyperlink r:id="rId102">
        <w:r>
          <w:rPr>
            <w:rStyle w:val="Hyperlink"/>
          </w:rPr>
          <w:t xml:space="preserve">https://doi.org/10.1007/s42113-018-0004-6</w:t>
        </w:r>
      </w:hyperlink>
    </w:p>
    <w:bookmarkEnd w:id="103"/>
    <w:bookmarkStart w:id="105" w:name="ref-white_2011"/>
    <w:p>
      <w:pPr>
        <w:pStyle w:val="Bibliography"/>
      </w:pPr>
      <w:r>
        <w:t xml:space="preserve">White, C. N., Ratcliff, R., &amp; Starns, J. J. (2011). Diffusion models of the flanker task: Discrete versus gradual attentional selection.</w:t>
      </w:r>
      <w:r>
        <w:t xml:space="preserve"> </w:t>
      </w:r>
      <w:r>
        <w:rPr>
          <w:i/>
        </w:rPr>
        <w:t xml:space="preserve">Cognitive Psychology</w:t>
      </w:r>
      <w:r>
        <w:t xml:space="preserve">,</w:t>
      </w:r>
      <w:r>
        <w:t xml:space="preserve"> </w:t>
      </w:r>
      <w:r>
        <w:rPr>
          <w:i/>
        </w:rPr>
        <w:t xml:space="preserve">63</w:t>
      </w:r>
      <w:r>
        <w:t xml:space="preserve">(4), 210–238.</w:t>
      </w:r>
      <w:r>
        <w:t xml:space="preserve"> </w:t>
      </w:r>
      <w:hyperlink r:id="rId104">
        <w:r>
          <w:rPr>
            <w:rStyle w:val="Hyperlink"/>
          </w:rPr>
          <w:t xml:space="preserve">https://doi.org/10.1016/j.cogpsych.2011.08.001</w:t>
        </w:r>
      </w:hyperlink>
    </w:p>
    <w:bookmarkEnd w:id="105"/>
    <w:bookmarkStart w:id="107" w:name="ref-white_2018a"/>
    <w:p>
      <w:pPr>
        <w:pStyle w:val="Bibliography"/>
      </w:pPr>
      <w:r>
        <w:t xml:space="preserve">White, C. N., Servant, M., &amp; Logan, G. D. (2018). Testing the validity of conflict drift-diffusion models for use in estimating cognitive processes: A parameter-recovery study.</w:t>
      </w:r>
      <w:r>
        <w:t xml:space="preserve"> </w:t>
      </w:r>
      <w:r>
        <w:rPr>
          <w:i/>
        </w:rPr>
        <w:t xml:space="preserve">Psychonomic Bulletin &amp; Review</w:t>
      </w:r>
      <w:r>
        <w:t xml:space="preserve">,</w:t>
      </w:r>
      <w:r>
        <w:t xml:space="preserve"> </w:t>
      </w:r>
      <w:r>
        <w:rPr>
          <w:i/>
        </w:rPr>
        <w:t xml:space="preserve">25</w:t>
      </w:r>
      <w:r>
        <w:t xml:space="preserve">(1), 286–301.</w:t>
      </w:r>
      <w:r>
        <w:t xml:space="preserve"> </w:t>
      </w:r>
      <w:hyperlink r:id="rId106">
        <w:r>
          <w:rPr>
            <w:rStyle w:val="Hyperlink"/>
          </w:rPr>
          <w:t xml:space="preserve">https://doi.org/10.3758/s13423-017-1271-2</w:t>
        </w:r>
      </w:hyperlink>
    </w:p>
    <w:bookmarkEnd w:id="107"/>
    <w:bookmarkStart w:id="109" w:name="ref-young_2020"/>
    <w:p>
      <w:pPr>
        <w:pStyle w:val="Bibliography"/>
      </w:pPr>
      <w:r>
        <w:t xml:space="preserve">Young, E. S., Frankenhuis, W. E., &amp; Ellis, B. J. (2020). Theory and measurement of environmental unpredictability.</w:t>
      </w:r>
      <w:r>
        <w:t xml:space="preserve"> </w:t>
      </w:r>
      <w:r>
        <w:rPr>
          <w:i/>
        </w:rPr>
        <w:t xml:space="preserve">Evolution and Human Behavior</w:t>
      </w:r>
      <w:r>
        <w:t xml:space="preserve">,</w:t>
      </w:r>
      <w:r>
        <w:t xml:space="preserve"> </w:t>
      </w:r>
      <w:r>
        <w:rPr>
          <w:i/>
        </w:rPr>
        <w:t xml:space="preserve">41</w:t>
      </w:r>
      <w:r>
        <w:t xml:space="preserve">(6), 550–556.</w:t>
      </w:r>
      <w:r>
        <w:t xml:space="preserve"> </w:t>
      </w:r>
      <w:hyperlink r:id="rId108">
        <w:r>
          <w:rPr>
            <w:rStyle w:val="Hyperlink"/>
          </w:rPr>
          <w:t xml:space="preserve">https://doi.org/10.1016/j.evolhumbehav.2020.08.006</w:t>
        </w:r>
      </w:hyperlink>
    </w:p>
    <w:bookmarkEnd w:id="109"/>
    <w:bookmarkStart w:id="111" w:name="ref-young_2018"/>
    <w:p>
      <w:pPr>
        <w:pStyle w:val="Bibliography"/>
      </w:pPr>
      <w:r>
        <w:t xml:space="preserve">Young, E. S., Griskevicius, V., Simpson, J. A., &amp; Waters, T. E. A. (2018). Can an unpredictable childhood environment enhance working memory? Testing the sensitized-specialization hypothesis.</w:t>
      </w:r>
      <w:r>
        <w:t xml:space="preserve"> </w:t>
      </w:r>
      <w:r>
        <w:rPr>
          <w:i/>
        </w:rPr>
        <w:t xml:space="preserve">Journal of Personality and Social Psychology</w:t>
      </w:r>
      <w:r>
        <w:t xml:space="preserve">,</w:t>
      </w:r>
      <w:r>
        <w:t xml:space="preserve"> </w:t>
      </w:r>
      <w:r>
        <w:rPr>
          <w:i/>
        </w:rPr>
        <w:t xml:space="preserve">114</w:t>
      </w:r>
      <w:r>
        <w:t xml:space="preserve">(6), 891–908.</w:t>
      </w:r>
      <w:r>
        <w:t xml:space="preserve"> </w:t>
      </w:r>
      <w:hyperlink r:id="rId110">
        <w:r>
          <w:rPr>
            <w:rStyle w:val="Hyperlink"/>
          </w:rPr>
          <w:t xml:space="preserve">https://doi.org/https://doi.org/10.1037/pspi0000124</w:t>
        </w:r>
      </w:hyperlink>
    </w:p>
    <w:bookmarkEnd w:id="111"/>
    <w:bookmarkEnd w:id="112"/>
    <w:p>
      <w:r>
        <w:br w:type="page"/>
      </w:r>
    </w:p>
    <w:p>
      <w:pPr>
        <w:pStyle w:val="Heading1"/>
      </w:pPr>
      <w:bookmarkStart w:id="113" w:name="appendix"/>
      <w:r>
        <w:t xml:space="preserve">Appendix</w:t>
      </w:r>
      <w:bookmarkEnd w:id="113"/>
    </w:p>
    <w:p>
      <w:pPr>
        <w:pStyle w:val="FirstParagraph"/>
      </w:pPr>
      <w:r>
        <w:t xml:space="preserve">Go back to</w:t>
      </w:r>
      <w:r>
        <w:t xml:space="preserve"> </w:t>
      </w:r>
      <w:hyperlink w:anchor="state">
        <w:r>
          <w:rPr>
            <w:rStyle w:val="Hyperlink"/>
          </w:rPr>
          <w:t xml:space="preserve">Methods</w:t>
        </w:r>
      </w:hyperlink>
    </w:p>
    <w:p>
      <w:pPr>
        <w:pStyle w:val="TableCaption"/>
      </w:pPr>
      <w:r>
        <w:rPr/>
        <w:t xml:space="preserve">Table </w:t>
      </w:r>
      <w:bookmarkStart w:id="e3820e3d-2771-4c26-9faa-b138d6f1ae72"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3820e3d-2771-4c26-9faa-b138d6f1ae72"/>
      <w:r>
        <w:rPr/>
        <w:t xml:space="preserve">. </w:t>
      </w:r>
      <w:r>
        <w:t xml:space="preserve">Items of the State-Trait Anxiety Inventory (state subscale; STAI-S)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calm*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secure*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tense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strained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at ease*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upset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presently worrying over possible misfortunes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satisfied*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frightened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comfortable*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self-confident*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nervous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jittery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indecisive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relaxed*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content*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worried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confused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steady*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pleasant*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violence">
        <w:r>
          <w:rPr>
            <w:rStyle w:val="Hyperlink"/>
          </w:rPr>
          <w:t xml:space="preserve">Methods</w:t>
        </w:r>
      </w:hyperlink>
    </w:p>
    <w:p>
      <w:pPr>
        <w:pStyle w:val="TableCaption"/>
      </w:pPr>
      <w:r>
        <w:rPr/>
        <w:t xml:space="preserve">Table </w:t>
      </w:r>
      <w:bookmarkStart w:id="45d51c50-2846-4e9f-9ea0-2bc471d08342"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5d51c50-2846-4e9f-9ea0-2bc471d08342"/>
      <w:r>
        <w:rPr/>
        <w:t xml:space="preserve">. </w:t>
      </w:r>
      <w:r>
        <w:t xml:space="preserve">Items of the Neighborhood Violence Scale (NVS)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grew up in a safe neighborhood.*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Crime was common in the neighborhood where I grew up.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people had plenty of money.*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physical fights were common.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shootings or stabbings occurred.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most people felt unsafe walking alone after dark.</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Where I grew up, it was important to be able to defend yourself against physical harm.</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911d16f2-d770-469a-ada7-a51886557be3" w:name="tableS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11d16f2-d770-469a-ada7-a51886557be3"/>
      <w:r>
        <w:rPr/>
        <w:t xml:space="preserve">. </w:t>
      </w:r>
      <w:r>
        <w:t xml:space="preserve">Items of the Perceived Childhood Unpredictability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life was generally inconsistent and unpredictable from day-to-day.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frequently had arguments or fights with each other or other people in my childhood.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had a difficult divorce or separation during this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often moved in and out of my house on a pretty random basis.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woke up, I often didn't know what could happen in my house that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environment was often tense and "on edge".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Things were often chaotic in my house.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hard time knowing what my parent(s) or other people in my house were going to say.</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2f7e7cc0-155f-4273-8276-c40ce3e6ad1c" w:name="tableS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f7e7cc0-155f-4273-8276-c40ce3e6ad1c"/>
      <w:r>
        <w:rPr/>
        <w:t xml:space="preserve">. </w:t>
      </w:r>
      <w:r>
        <w:t xml:space="preserve">Items of the Questionnaire of Unpredictability in Childhood (QUIC)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monitoring and involvement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set morning routine on school days (i.e., I usually did the same thing each day to get ready).*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kept track of what I ate (e.g., made sure that I didn’t skip meals or tried to make sure I ate healthy food).*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ate a meal together most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tried to make sure I got a good night’s sleep (e.g., I had a regular bedtime, my parents checked to make sure I went to sleep).*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bedtime routine (e.g, my parents tucked me in, my parents read me a book, I took a bath).*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afterschool or free time hours at least one of my parents knew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regularly checked that I did my homework.*</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regularly kept track of my school progress.*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parent made time each day to see how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predictability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were often very late to pick me up (e.g., from school, aftercare or sports).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knew when my parents were going to be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had punishments that were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wondered whether or not one of my parents would come home at the end of the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planned activities to do together.*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would plan something for the family, but then not follow through with the plan.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had holiday traditions that we did every year (e.g., cooking a special food at a particular time of year/decorate the house the same way).*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was disorganized.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was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For at least one of my parents, when they were upset I did not know how they would act.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parents could go from calm to furious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parents could go from calm to stressed or nervous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long period of time when I didn’t see one of my parents (e.g., military deployment, jail time, custody arrangements).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experienced changes in my custody arrangement.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changed jobs frequently.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times when one of my parents was unemployed and couldn’t find a job even though he/she wanted one.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had a stable relationship with each 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got divorced.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had many romantic partners.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Physical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often people coming and going in my house that I did not expect to be there.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moved frequently.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frequently.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mid-year.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clean house.*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cluttered house (e.g., piles of stuff everywhere).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house things I needed were often misplaced so that I could not find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Safety and security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period of time when I often worried that I was not going to have enough food to eat.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period of time when I often worried that my family would not have enough money to pay for necessities like clothing or bills.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period of time when I did not feel safe in my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chaos">
        <w:r>
          <w:rPr>
            <w:rStyle w:val="Hyperlink"/>
          </w:rPr>
          <w:t xml:space="preserve">Methods</w:t>
        </w:r>
      </w:hyperlink>
    </w:p>
    <w:p>
      <w:pPr>
        <w:pStyle w:val="TableCaption"/>
      </w:pPr>
      <w:r>
        <w:rPr/>
        <w:t xml:space="preserve">Table </w:t>
      </w:r>
      <w:bookmarkStart w:id="baf8a134-7064-4444-84c9-e999fd31567e" w:name="tableS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af8a134-7064-4444-84c9-e999fd31567e"/>
      <w:r>
        <w:rPr/>
        <w:t xml:space="preserve">. </w:t>
      </w:r>
      <w:r>
        <w:t xml:space="preserve">Items of the Confusion, Hubbub, and Order Scale (CHAOS)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very little commotion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could usually find things when we needed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almost always seemed to be rushed.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were usually able to stay on top of things.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how hard we tried, we always seemed to be running late.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 was a real zoo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home we could talk to each other without being interrupted.*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often a fuss going on at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what our family planned, it usually didn't seem to work out.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 couldn't hear yourself think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got drawn into other people's arguments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Our home was a good place to relax.*</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telephone took up a lot of our time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atmosphere in our home was calm.*</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First thing in the day, we had a regular routine at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ses">
        <w:r>
          <w:rPr>
            <w:rStyle w:val="Hyperlink"/>
          </w:rPr>
          <w:t xml:space="preserve">Methods</w:t>
        </w:r>
      </w:hyperlink>
    </w:p>
    <w:p>
      <w:pPr>
        <w:pStyle w:val="TableCaption"/>
      </w:pPr>
      <w:r>
        <w:rPr/>
        <w:t xml:space="preserve">Table </w:t>
      </w:r>
      <w:bookmarkStart w:id="b2c172a7-b9f3-4bd8-880b-87b88db67937" w:name="tableS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2c172a7-b9f3-4bd8-880b-87b88db67937"/>
      <w:r>
        <w:rPr/>
        <w:t xml:space="preserve">. </w:t>
      </w:r>
      <w:r>
        <w:t xml:space="preserve">Items of the perceived socio-economic status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home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clothing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food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medical care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school.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neighborhood.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struggled to make ends meet (get by financially)*</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impulsivity">
        <w:r>
          <w:rPr>
            <w:rStyle w:val="Hyperlink"/>
          </w:rPr>
          <w:t xml:space="preserve">Methods</w:t>
        </w:r>
      </w:hyperlink>
    </w:p>
    <w:p>
      <w:pPr>
        <w:pStyle w:val="TableCaption"/>
      </w:pPr>
      <w:r>
        <w:rPr/>
        <w:t xml:space="preserve">Table </w:t>
      </w:r>
      <w:bookmarkStart w:id="313a3f39-8786-4816-a4dd-67a70d42d6d1" w:name="tableS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13a3f39-8786-4816-a4dd-67a70d42d6d1"/>
      <w:r>
        <w:rPr/>
        <w:t xml:space="preserve">. </w:t>
      </w:r>
      <w:r>
        <w:t xml:space="preserve">Items of the Barrett Impulsivity Scale (BIS) - motor impulsivity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say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the spur of the moment.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buy things on impulse.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impulse.</w:t>
            </w:r>
          </w:p>
        </w:tc>
      </w:tr>
    </w:tbl>
    <w:p>
      <w:r>
        <w:br w:type="page"/>
      </w:r>
    </w:p>
    <w:p>
      <w:pPr>
        <w:pStyle w:val="BodyText"/>
      </w:pPr>
      <w:r>
        <w:t xml:space="preserve">Go back to</w:t>
      </w:r>
      <w:r>
        <w:t xml:space="preserve"> </w:t>
      </w:r>
      <w:hyperlink w:anchor="future_orientation">
        <w:r>
          <w:rPr>
            <w:rStyle w:val="Hyperlink"/>
          </w:rPr>
          <w:t xml:space="preserve">Methods</w:t>
        </w:r>
      </w:hyperlink>
    </w:p>
    <w:p>
      <w:pPr>
        <w:pStyle w:val="TableCaption"/>
      </w:pPr>
      <w:r>
        <w:rPr/>
        <w:t xml:space="preserve">Table </w:t>
      </w:r>
      <w:bookmarkStart w:id="4703608d-e14f-47d0-916b-c6f1bf134074" w:name="tableS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703608d-e14f-47d0-916b-c6f1bf134074"/>
      <w:r>
        <w:rPr/>
        <w:t xml:space="preserve">. </w:t>
      </w:r>
      <w:r>
        <w:t xml:space="preserve">Items of the Future Orientation Scale (FOS)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Planning ahead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jump right into things without planning them out beforehand.*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making lists of things to do is a waste of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make plans before going ahead with my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things work out better if they are planned out in advance.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breaking big projects down into small steps isn't really necessary.*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Time perspective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spend a lot of time thinking about how things might be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give up my happiness now to get what I want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I'd rather spend money right away than save it for a rainy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try to imagine what my life will be like in 10 years.*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always thinking about what tomorrow will bring.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Anticipation of future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think about every little possibility before making a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act, I don't think about the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pretty good at seeing in advance how one thing can lead to another.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a lot about how my decisions will affect others.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it is best not to worry about things you can't predict.*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depression">
        <w:r>
          <w:rPr>
            <w:rStyle w:val="Hyperlink"/>
          </w:rPr>
          <w:t xml:space="preserve">Methods</w:t>
        </w:r>
      </w:hyperlink>
    </w:p>
    <w:p>
      <w:pPr>
        <w:pStyle w:val="TableCaption"/>
      </w:pPr>
      <w:r>
        <w:rPr/>
        <w:t xml:space="preserve">Table </w:t>
      </w:r>
      <w:bookmarkStart w:id="1e61749a-46c1-449b-b1e4-6f94561f96b5" w:name="tableS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61749a-46c1-449b-b1e4-6f94561f96b5"/>
      <w:r>
        <w:rPr/>
        <w:t xml:space="preserve">. </w:t>
      </w:r>
      <w:r>
        <w:t xml:space="preserve">Items of the Epidemiologic Studies Depression Scale (CESD)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bothered by things that usually don't bother 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like eating; my appetite was poor.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could not shake off the blues even with help from my family and friends.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was just as good as other people.*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trouble keeping my mind on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depressed.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everything I did was an effort.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hopeful about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thought my life had been a failure.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fearful.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sleep was restless.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happy.*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talked less than usual.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lonely.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were unfriendly.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enjoyed life.*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crying spells.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sad.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people dislike me.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could not get "going".</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sectPr xmlns:w="http://schemas.openxmlformats.org/wordprocessingml/2006/main">
      <w:pgMar w:header="720" w:bottom="1440" w:top="1440" w:right="1440" w:left="1440"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56C957B6" w:rsidR="00927188" w:rsidRPr="006275A3" w:rsidRDefault="009E425B"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8C34" w14:textId="6A91B188" w:rsidR="00DE4A59" w:rsidRDefault="00DE4A59">
    <w:pPr>
      <w:pStyle w:val="Header"/>
    </w:pPr>
    <w:r>
      <w:t>HIDDEN TALENTS IN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3E47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033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F46C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384B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427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2263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D8AD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8003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FA40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0438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75" Type="http://schemas.openxmlformats.org/officeDocument/2006/relationships/hyperlink" Target="https://doi.org/10.1002/1097-4679(199511)51:6%3C768::AID-JCLP2270510607%3E3.0.CO;2-1" TargetMode="External"/>
<Relationship Id="rId102" Type="http://schemas.openxmlformats.org/officeDocument/2006/relationships/hyperlink" Target="https://doi.org/10.1007/s42113-018-0004-6" TargetMode="External"/>
<Relationship Id="rId69" Type="http://schemas.openxmlformats.org/officeDocument/2006/relationships/hyperlink" Target="https://doi.org/10.1016/0193-3973(95)90028-4" TargetMode="External"/>
<Relationship Id="rId104" Type="http://schemas.openxmlformats.org/officeDocument/2006/relationships/hyperlink" Target="https://doi.org/10.1016/j.cogpsych.2011.08.001" TargetMode="External"/>
<Relationship Id="rId108" Type="http://schemas.openxmlformats.org/officeDocument/2006/relationships/hyperlink" Target="https://doi.org/10.1016/j.evolhumbehav.2020.08.006" TargetMode="External"/>
<Relationship Id="rId47" Type="http://schemas.openxmlformats.org/officeDocument/2006/relationships/hyperlink" Target="https://doi.org/10.1017/S0954579420000887" TargetMode="External"/>
<Relationship Id="rId87" Type="http://schemas.openxmlformats.org/officeDocument/2006/relationships/hyperlink" Target="https://doi.org/10.1017/S1355617710000706" TargetMode="External"/>
<Relationship Id="rId71" Type="http://schemas.openxmlformats.org/officeDocument/2006/relationships/hyperlink" Target="https://doi.org/10.1037/pspi0000028" TargetMode="External"/>
<Relationship Id="rId61" Type="http://schemas.openxmlformats.org/officeDocument/2006/relationships/hyperlink" Target="https://doi.org/10.1038/s41386-018-0280-9" TargetMode="External"/>
<Relationship Id="rId90" Type="http://schemas.openxmlformats.org/officeDocument/2006/relationships/hyperlink" Target="https://doi.org/10.1080/00207450600588881" TargetMode="External"/>
<Relationship Id="rId45" Type="http://schemas.openxmlformats.org/officeDocument/2006/relationships/hyperlink" Target="https://doi.org/10.1146/annurev.psych.093008.100427" TargetMode="External"/>
<Relationship Id="rId85" Type="http://schemas.openxmlformats.org/officeDocument/2006/relationships/hyperlink" Target="https://doi.org/10.1162/neco.2008.12-06-420" TargetMode="External"/>
<Relationship Id="rId59" Type="http://schemas.openxmlformats.org/officeDocument/2006/relationships/hyperlink" Target="https://doi.org/10.1177/0963721413484324" TargetMode="External"/>
<Relationship Id="rId51" Type="http://schemas.openxmlformats.org/officeDocument/2006/relationships/hyperlink" Target="https://doi.org/10.1186/s12889-020-08680-y" TargetMode="External"/>
<Relationship Id="rId100" Type="http://schemas.openxmlformats.org/officeDocument/2006/relationships/hyperlink" Target="https://doi.org/10.1518/001872008X312152" TargetMode="External"/>
<Relationship Id="rId96" Type="http://schemas.openxmlformats.org/officeDocument/2006/relationships/hyperlink" Target="https://doi.org/10.3758/BF03196893" TargetMode="External"/>
<Relationship Id="rId106" Type="http://schemas.openxmlformats.org/officeDocument/2006/relationships/hyperlink" Target="https://doi.org/10.3758/s13423-017-1271-2" TargetMode="External"/>
<Relationship Id="rId65" Type="http://schemas.openxmlformats.org/officeDocument/2006/relationships/hyperlink" Target="https://doi.org/10.3758/s13428-014-0458-y" TargetMode="External"/>
<Relationship Id="rId63" Type="http://schemas.openxmlformats.org/officeDocument/2006/relationships/hyperlink" Target="https://doi.org/10.3758/s13428-015-0615-y" TargetMode="External"/>
<Relationship Id="rId67" Type="http://schemas.openxmlformats.org/officeDocument/2006/relationships/hyperlink" Target="https://doi.org/10.3758/s13428-016-0740-2" TargetMode="External"/>
<Relationship Id="rId49" Type="http://schemas.openxmlformats.org/officeDocument/2006/relationships/hyperlink" Target="https://doi.org/https://doi.org/10.1007/s12110-009-9063-7" TargetMode="External"/>
<Relationship Id="rId77" Type="http://schemas.openxmlformats.org/officeDocument/2006/relationships/hyperlink" Target="https://doi.org/https://doi.org/10.1016/j.cognition.2008.10.010" TargetMode="External"/>
<Relationship Id="rId57" Type="http://schemas.openxmlformats.org/officeDocument/2006/relationships/hyperlink" Target="https://doi.org/https://doi.org/10.1016/j.copsyc.2015.08.011" TargetMode="External"/>
<Relationship Id="rId83" Type="http://schemas.openxmlformats.org/officeDocument/2006/relationships/hyperlink" Target="https://doi.org/https://doi.org/10.1037/dec0000030" TargetMode="External"/>
<Relationship Id="rId110" Type="http://schemas.openxmlformats.org/officeDocument/2006/relationships/hyperlink" Target="https://doi.org/https://doi.org/10.1037/pspi0000124" TargetMode="External"/>
<Relationship Id="rId79" Type="http://schemas.openxmlformats.org/officeDocument/2006/relationships/hyperlink" Target="https://doi.org/https://doi.org/10.1080/00335558008248231" TargetMode="External"/>
<Relationship Id="rId94" Type="http://schemas.openxmlformats.org/officeDocument/2006/relationships/hyperlink" Target="https://doi.org/https://doi.org/10.1111/desc.13055" TargetMode="External"/>
<Relationship Id="rId92" Type="http://schemas.openxmlformats.org/officeDocument/2006/relationships/hyperlink" Target="https://doi.org/https://doi.org/10.1111/j.1467-8624.2008.01244.x" TargetMode="External"/>
<Relationship Id="rId55" Type="http://schemas.openxmlformats.org/officeDocument/2006/relationships/hyperlink" Target="https://doi.org/https://doi.org/10.1146/annurev-psych-122414-033645" TargetMode="External"/>
<Relationship Id="rId81" Type="http://schemas.openxmlformats.org/officeDocument/2006/relationships/hyperlink" Target="https://doi.org/https://doi.org/10.1177/014662167700100306" TargetMode="External"/>
<Relationship Id="rId73" Type="http://schemas.openxmlformats.org/officeDocument/2006/relationships/hyperlink" Target="https://doi.org/https://doi.org/10.1177/0956797620975775" TargetMode="External"/>
<Relationship Id="rId98" Type="http://schemas.openxmlformats.org/officeDocument/2006/relationships/hyperlink" Target="https://doi.org/https://doi.org/10.3758/BF03192967" TargetMode="External"/>
<Relationship Id="rId53" Type="http://schemas.openxmlformats.org/officeDocument/2006/relationships/hyperlink" Target="https://doi.org/https://doi.org/10.3758/BF03203267" TargetMode="External"/>
<Relationship Id="rId20" Type="http://schemas.openxmlformats.org/officeDocument/2006/relationships/hyperlink" Target="https://github.com/StefanVermeent/attention_pilot/Preregistrations_and_Milestones.xlsx" TargetMode="External"/>
<Relationship Id="rId43" Type="http://schemas.openxmlformats.org/officeDocument/2006/relationships/hyperlink" Target="https://github.com/StefanVermeent/attention_pilot/tree/main/scripts" TargetMode="External"/>
<Relationship Id="rId27" Type="http://schemas.openxmlformats.org/officeDocument/2006/relationships/hyperlink" Target="https://github.com/StefanVermeent/attention_pilot/tree/main/tasks" TargetMode="External"/>
<Relationship Id="rId24" Type="http://schemas.openxmlformats.org/officeDocument/2006/relationships/hyperlink" Target="https://osf.io/gfpnr/" TargetMode="External"/>
</Relationships>

</file>

<file path=word/_rels/footnotes.xml.rels><?xml version="1.0" encoding="UTF-8" standalone="yes"?>

<Relationships  xmlns="http://schemas.openxmlformats.org/package/2006/relationships">
<Relationship Id="rId75" Type="http://schemas.openxmlformats.org/officeDocument/2006/relationships/hyperlink" Target="https://doi.org/10.1002/1097-4679(199511)51:6%3C768::AID-JCLP2270510607%3E3.0.CO;2-1" TargetMode="External"/>
<Relationship Id="rId102" Type="http://schemas.openxmlformats.org/officeDocument/2006/relationships/hyperlink" Target="https://doi.org/10.1007/s42113-018-0004-6" TargetMode="External"/>
<Relationship Id="rId69" Type="http://schemas.openxmlformats.org/officeDocument/2006/relationships/hyperlink" Target="https://doi.org/10.1016/0193-3973(95)90028-4" TargetMode="External"/>
<Relationship Id="rId104" Type="http://schemas.openxmlformats.org/officeDocument/2006/relationships/hyperlink" Target="https://doi.org/10.1016/j.cogpsych.2011.08.001" TargetMode="External"/>
<Relationship Id="rId108" Type="http://schemas.openxmlformats.org/officeDocument/2006/relationships/hyperlink" Target="https://doi.org/10.1016/j.evolhumbehav.2020.08.006" TargetMode="External"/>
<Relationship Id="rId47" Type="http://schemas.openxmlformats.org/officeDocument/2006/relationships/hyperlink" Target="https://doi.org/10.1017/S0954579420000887" TargetMode="External"/>
<Relationship Id="rId87" Type="http://schemas.openxmlformats.org/officeDocument/2006/relationships/hyperlink" Target="https://doi.org/10.1017/S1355617710000706" TargetMode="External"/>
<Relationship Id="rId71" Type="http://schemas.openxmlformats.org/officeDocument/2006/relationships/hyperlink" Target="https://doi.org/10.1037/pspi0000028" TargetMode="External"/>
<Relationship Id="rId61" Type="http://schemas.openxmlformats.org/officeDocument/2006/relationships/hyperlink" Target="https://doi.org/10.1038/s41386-018-0280-9" TargetMode="External"/>
<Relationship Id="rId90" Type="http://schemas.openxmlformats.org/officeDocument/2006/relationships/hyperlink" Target="https://doi.org/10.1080/00207450600588881" TargetMode="External"/>
<Relationship Id="rId45" Type="http://schemas.openxmlformats.org/officeDocument/2006/relationships/hyperlink" Target="https://doi.org/10.1146/annurev.psych.093008.100427" TargetMode="External"/>
<Relationship Id="rId85" Type="http://schemas.openxmlformats.org/officeDocument/2006/relationships/hyperlink" Target="https://doi.org/10.1162/neco.2008.12-06-420" TargetMode="External"/>
<Relationship Id="rId59" Type="http://schemas.openxmlformats.org/officeDocument/2006/relationships/hyperlink" Target="https://doi.org/10.1177/0963721413484324" TargetMode="External"/>
<Relationship Id="rId51" Type="http://schemas.openxmlformats.org/officeDocument/2006/relationships/hyperlink" Target="https://doi.org/10.1186/s12889-020-08680-y" TargetMode="External"/>
<Relationship Id="rId100" Type="http://schemas.openxmlformats.org/officeDocument/2006/relationships/hyperlink" Target="https://doi.org/10.1518/001872008X312152" TargetMode="External"/>
<Relationship Id="rId96" Type="http://schemas.openxmlformats.org/officeDocument/2006/relationships/hyperlink" Target="https://doi.org/10.3758/BF03196893" TargetMode="External"/>
<Relationship Id="rId106" Type="http://schemas.openxmlformats.org/officeDocument/2006/relationships/hyperlink" Target="https://doi.org/10.3758/s13423-017-1271-2" TargetMode="External"/>
<Relationship Id="rId65" Type="http://schemas.openxmlformats.org/officeDocument/2006/relationships/hyperlink" Target="https://doi.org/10.3758/s13428-014-0458-y" TargetMode="External"/>
<Relationship Id="rId63" Type="http://schemas.openxmlformats.org/officeDocument/2006/relationships/hyperlink" Target="https://doi.org/10.3758/s13428-015-0615-y" TargetMode="External"/>
<Relationship Id="rId67" Type="http://schemas.openxmlformats.org/officeDocument/2006/relationships/hyperlink" Target="https://doi.org/10.3758/s13428-016-0740-2" TargetMode="External"/>
<Relationship Id="rId49" Type="http://schemas.openxmlformats.org/officeDocument/2006/relationships/hyperlink" Target="https://doi.org/https://doi.org/10.1007/s12110-009-9063-7" TargetMode="External"/>
<Relationship Id="rId77" Type="http://schemas.openxmlformats.org/officeDocument/2006/relationships/hyperlink" Target="https://doi.org/https://doi.org/10.1016/j.cognition.2008.10.010" TargetMode="External"/>
<Relationship Id="rId57" Type="http://schemas.openxmlformats.org/officeDocument/2006/relationships/hyperlink" Target="https://doi.org/https://doi.org/10.1016/j.copsyc.2015.08.011" TargetMode="External"/>
<Relationship Id="rId83" Type="http://schemas.openxmlformats.org/officeDocument/2006/relationships/hyperlink" Target="https://doi.org/https://doi.org/10.1037/dec0000030" TargetMode="External"/>
<Relationship Id="rId110" Type="http://schemas.openxmlformats.org/officeDocument/2006/relationships/hyperlink" Target="https://doi.org/https://doi.org/10.1037/pspi0000124" TargetMode="External"/>
<Relationship Id="rId79" Type="http://schemas.openxmlformats.org/officeDocument/2006/relationships/hyperlink" Target="https://doi.org/https://doi.org/10.1080/00335558008248231" TargetMode="External"/>
<Relationship Id="rId94" Type="http://schemas.openxmlformats.org/officeDocument/2006/relationships/hyperlink" Target="https://doi.org/https://doi.org/10.1111/desc.13055" TargetMode="External"/>
<Relationship Id="rId92" Type="http://schemas.openxmlformats.org/officeDocument/2006/relationships/hyperlink" Target="https://doi.org/https://doi.org/10.1111/j.1467-8624.2008.01244.x" TargetMode="External"/>
<Relationship Id="rId55" Type="http://schemas.openxmlformats.org/officeDocument/2006/relationships/hyperlink" Target="https://doi.org/https://doi.org/10.1146/annurev-psych-122414-033645" TargetMode="External"/>
<Relationship Id="rId81" Type="http://schemas.openxmlformats.org/officeDocument/2006/relationships/hyperlink" Target="https://doi.org/https://doi.org/10.1177/014662167700100306" TargetMode="External"/>
<Relationship Id="rId73" Type="http://schemas.openxmlformats.org/officeDocument/2006/relationships/hyperlink" Target="https://doi.org/https://doi.org/10.1177/0956797620975775" TargetMode="External"/>
<Relationship Id="rId98" Type="http://schemas.openxmlformats.org/officeDocument/2006/relationships/hyperlink" Target="https://doi.org/https://doi.org/10.3758/BF03192967" TargetMode="External"/>
<Relationship Id="rId53" Type="http://schemas.openxmlformats.org/officeDocument/2006/relationships/hyperlink" Target="https://doi.org/https://doi.org/10.3758/BF03203267" TargetMode="External"/>
<Relationship Id="rId20" Type="http://schemas.openxmlformats.org/officeDocument/2006/relationships/hyperlink" Target="https://github.com/StefanVermeent/attention_pilot/Preregistrations_and_Milestones.xlsx" TargetMode="External"/>
<Relationship Id="rId43" Type="http://schemas.openxmlformats.org/officeDocument/2006/relationships/hyperlink" Target="https://github.com/StefanVermeent/attention_pilot/tree/main/scripts" TargetMode="External"/>
<Relationship Id="rId27" Type="http://schemas.openxmlformats.org/officeDocument/2006/relationships/hyperlink" Target="https://github.com/StefanVermeent/attention_pilot/tree/main/tasks" TargetMode="External"/>
<Relationship Id="rId24" Type="http://schemas.openxmlformats.org/officeDocument/2006/relationships/hyperlink" Target="https://osf.io/gfp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2021-10-26T08:36:28Z</dcterms:created>
  <dcterms:modified xsi:type="dcterms:W3CDTF">2021-10-26T10:36:29Z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