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line with previous thinking (e.g., Ellis et al., 2020; Frankenhuis et al., 2016; Frankenhuis &amp; Weerth, 2013), we initially expected people from adversity to perform better on cognitive tasks that require a broad attention scope. A broad attention scope might facilitate vigilance and the detection of subtle changes or peripheral information. However, this might come at a cost, especially for tasks that involve interference. To test these ideas, we ran a pilot study with a Cued Attention, Changed Detection, and Flanker Task (interference) and measured adversity exposure. We expected adversity-exposure would improve performance on the Cued-Attention and Change Detection tasks but hurt performance on the Flanker Task (see the preregistration of the first pilot study).</w:t>
      </w:r>
    </w:p>
    <w:p>
      <w:pPr>
        <w:pStyle w:val="BodyText"/>
      </w:pPr>
      <w:r>
        <w:t xml:space="preserve">In contrast to expectations, our pilot data did not find evidence for a broad adversity-related attention scope. In fact, our Drift Diffusion analyses showed that participants with more violence exposure were generally slower to process information – as shown by the drift rate parameters of the Cued Attention and Change Detection Task and the perceptual input parameter of the Flanker Task - and orient their attention – As shown by the non-decision time parameter - across all three tasks. However, on the Flanker Task — where we expected lowered performance — our analyses revealed that people exposed to violence were faster to narrow their attention to the task-relevant information. In other words, instead of maintaining a broad scope of attention, people exposed to violence were able to quickly focus their attention, as shown by the attention shrinking parameter.</w:t>
      </w:r>
    </w:p>
    <w:p>
      <w:pPr>
        <w:pStyle w:val="BodyText"/>
      </w:pPr>
      <w:r>
        <w:t xml:space="preserve">These findings are interesting for two reasons. First, the Flanker is a widely used task and people exposed to adversity typically show lowered performance. However, using the DDM to break performance into components, our pilot data suggest that lowered performance may not be caused by problems with attention control or inhibition. Instead, people exposed to adversity might simply extract perceptual information from the stimuli more slowly (as indicated by the perceptual input (p) parameter). This effectively lowers the quality of information that people can use to guide their decision, which will be reflected in lower reaction times. Second, these initial findings suggest that performance might be improved through different types of interventions focused on different cognitive mechanisms. Specifically, people with more adversity exposure might benefit from manipulations that increase the visual quality of stimuli.</w:t>
      </w:r>
    </w:p>
    <w:p>
      <w:pPr>
        <w:pStyle w:val="BodyText"/>
      </w:pPr>
      <w:r>
        <w:t xml:space="preserve">The goal of the current study is to replicate the attention findings on the Flanker Task, and to better understand the apparent information processing deficits. Participants completed three versions of the Flanker Task: the standard version, a version with enhanced visual information, and a version with degraded visual information.</w:t>
      </w:r>
    </w:p>
    <w:p>
      <w:pPr>
        <w:pStyle w:val="BodyText"/>
      </w:pPr>
      <w:r>
        <w:t xml:space="preserve">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two possible data patterns that we might expect across the different versions at different levels of violence exposure. First, if the findings reflect a general information processing deficit, we would expect performance to be lower for people with more violence exposure across all versions of the task. Alternatively, lower performance on the standard version might reflect an adaptive trade-off towards more robust cognitive functioning, even in the face of noise or perturbations</w:t>
      </w:r>
      <w:r>
        <w:t xml:space="preserve"> </w:t>
      </w:r>
      <w:r>
        <w:t xml:space="preserve">(Del Giudice &amp; Crespi, 2018)</w:t>
      </w:r>
      <w:r>
        <w:t xml:space="preserve">. In that case, we would expect more stable performance for people with more violence exposure. As a result, they might not benefit as much from enhanced visual information, but at the same time might be able to better maintain performance when presented with degraded information.</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8"/>
                    <a:srcRect/>
                    <a:stretch>
                      <a:fillRect/>
                    </a:stretch>
                  </pic:blipFill>
                  <pic:spPr bwMode="auto">
                    <a:xfrm>
                      <a:off x="0" y="0"/>
                      <a:ext cx="76200" cy="50800"/>
                    </a:xfrm>
                    <a:prstGeom prst="rect">
                      <a:avLst/>
                    </a:prstGeom>
                    <a:noFill/>
                  </pic:spPr>
                </pic:pic>
              </a:graphicData>
            </a:graphic>
          </wp:inline>
        </w:drawing>
      </w:r>
    </w:p>
    <w:p>
      <w:pPr>
        <w:pStyle w:val="ImageCaption"/>
      </w:pPr>
      <w:r>
        <w:rPr/>
        <w:t xml:space="preserve">Figure </w:t>
      </w:r>
      <w:bookmarkStart w:id="c4fa524c-8d72-4b06-b5f1-9f9c048d0c6c"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4fa524c-8d72-4b06-b5f1-9f9c048d0c6c"/>
      <w:r>
        <w:t xml:space="preserve">. </w:t>
      </w:r>
      <w:r>
        <w:t xml:space="preserve">Overview of the three Flanker conditions and predicted patterns of results under different cognitive mechanisms. A: The different Flanker Task conditions. The standard version is a typical implementation of the Flanker stimuli. The enhanced version improves the quality of information by increasing stimulus size by 12.5% and including padding (5 pixels) between the arrows. The degraded cognition reduces the quality of information by rotating all arrows at a 45° angle. B: Two potential patterns of the effect of condition on people’s perceptual input as a function of violence exposure. Left plot: Under the deficit model, we would expect people with more violence exposure to perform worse across all three conditions. Right plot: If performance is traded off against higher robustness of the cognitive system for people with more violence exposure (Del Giudice &amp; Crespi, 2018), we would expect cognitive performance in this group to be relatively stable across conditions, perhaps even outperforming people with less violence exposure in the degraded condition.</w:t>
      </w:r>
    </w:p>
    <w:bookmarkStart w:id="20" w:name="primary"/>
    <w:p>
      <w:pPr>
        <w:pStyle w:val="Heading2"/>
      </w:pPr>
      <w:r>
        <w:t xml:space="preserve">Primary aims</w:t>
      </w:r>
    </w:p>
    <w:p>
      <w:pPr>
        <w:numPr>
          <w:ilvl w:val="0"/>
          <w:numId w:val="1001"/>
        </w:numPr>
        <w:pStyle w:val="Compact"/>
      </w:pPr>
      <w:r>
        <w:t xml:space="preserve">Investigate the robustness of the primary DDM findings in the pilot study by pooling the pilot data and the data of the standard condition in the current study.</w:t>
      </w:r>
    </w:p>
    <w:p>
      <w:pPr>
        <w:numPr>
          <w:ilvl w:val="0"/>
          <w:numId w:val="1001"/>
        </w:numPr>
        <w:pStyle w:val="Compact"/>
      </w:pPr>
      <w:r>
        <w:t xml:space="preserve">Extent the findings of the pilot study by investigating how Flanker performance changes across conditions as a function of violence exposure. We expect that the manipulations primarily have an effect on perceptual input</w:t>
      </w:r>
      <w:r>
        <w:t xml:space="preserve"> </w:t>
      </w:r>
      <w:r>
        <w:rPr>
          <w:iCs/>
          <w:i/>
        </w:rPr>
        <w:t xml:space="preserve">p</w:t>
      </w:r>
      <w:r>
        <w:t xml:space="preserve">, thereby also affecting overall reaction times.</w:t>
      </w:r>
    </w:p>
    <w:bookmarkEnd w:id="20"/>
    <w:bookmarkStart w:id="21" w:name="secondary"/>
    <w:p>
      <w:pPr>
        <w:pStyle w:val="Heading1"/>
      </w:pPr>
      <w:r>
        <w:t xml:space="preserve">Secondary aims</w:t>
      </w:r>
    </w:p>
    <w:p>
      <w:pPr>
        <w:numPr>
          <w:ilvl w:val="0"/>
          <w:numId w:val="1002"/>
        </w:numPr>
        <w:pStyle w:val="Compact"/>
      </w:pPr>
      <w:r>
        <w:t xml:space="preserve">Investigate the extent to which the</w:t>
      </w:r>
      <w:r>
        <w:t xml:space="preserve"> </w:t>
      </w:r>
      <w:hyperlink w:anchor="efa">
        <w:r>
          <w:rPr>
            <w:rStyle w:val="Hyperlink"/>
          </w:rPr>
          <w:t xml:space="preserve">factor structure</w:t>
        </w:r>
      </w:hyperlink>
      <w:r>
        <w:t xml:space="preserve"> </w:t>
      </w:r>
      <w:r>
        <w:t xml:space="preserve">of the unpredictability measures corresponds to the one found in the pilot study. Secondly, investigate how different dimensions of unpredictability relate to Flanker performance.</w:t>
      </w:r>
    </w:p>
    <w:p>
      <w:pPr>
        <w:numPr>
          <w:ilvl w:val="0"/>
          <w:numId w:val="1003"/>
        </w:numPr>
        <w:pStyle w:val="Compact"/>
      </w:pPr>
      <w:r>
        <w:t xml:space="preserve">Explore the role of state anxiety, hunger, and sleep deprivation as potential moderators of the relationship between adversity and attention performance. Anxiety might enhance attention performance by making participants more vigilant. Conversely, hunger and sleep deprivation could have a negative effect on performance.</w:t>
      </w:r>
    </w:p>
    <w:p>
      <w:pPr>
        <w:numPr>
          <w:ilvl w:val="0"/>
          <w:numId w:val="1003"/>
        </w:numPr>
        <w:pStyle w:val="Compact"/>
      </w:pPr>
      <w:r>
        <w:t xml:space="preserve">Explore bivariate correlations between measures of adversity, attention, and measures of temporal orientation (i.e., impulsivity and future orientation).</w:t>
      </w:r>
    </w:p>
    <w:p>
      <w:pPr>
        <w:numPr>
          <w:ilvl w:val="0"/>
          <w:numId w:val="1003"/>
        </w:numPr>
        <w:pStyle w:val="Compact"/>
      </w:pPr>
      <w:r>
        <w:t xml:space="preserve">Explore the correlation between current depressive symptoms and retrospective measures of adversity, which might reflect a negativity bias in recalling past events driven by current depressive symptoms</w:t>
      </w:r>
      <w:r>
        <w:t xml:space="preserve"> </w:t>
      </w:r>
      <w:r>
        <w:t xml:space="preserve">(Nivison et al., 2021)</w:t>
      </w:r>
      <w:r>
        <w:t xml:space="preserve">.</w:t>
      </w:r>
    </w:p>
    <w:bookmarkEnd w:id="21"/>
    <w:bookmarkStart w:id="41" w:name="methods"/>
    <w:p>
      <w:pPr>
        <w:pStyle w:val="Heading1"/>
      </w:pPr>
      <w:r>
        <w:t xml:space="preserve">Methods</w:t>
      </w:r>
    </w:p>
    <w:bookmarkStart w:id="23" w:name="participants"/>
    <w:p>
      <w:pPr>
        <w:pStyle w:val="Heading2"/>
      </w:pPr>
      <w:r>
        <w:t xml:space="preserve">Participants</w:t>
      </w:r>
    </w:p>
    <w:p>
      <w:pPr>
        <w:pStyle w:val="FirstParagraph"/>
      </w:pPr>
      <w:r>
        <w:t xml:space="preserve">Participants were 550 US-based individuals between the ages of 18 and 30 (</w:t>
      </w:r>
      <w:r>
        <w:rPr>
          <w:iCs/>
          <w:i/>
        </w:rPr>
        <w:t xml:space="preserve">M</w:t>
      </w:r>
      <w:r>
        <w:t xml:space="preserve"> </w:t>
      </w:r>
      <w:r>
        <w:t xml:space="preserve">= ,</w:t>
      </w:r>
      <w:r>
        <w:t xml:space="preserve"> </w:t>
      </w:r>
      <w:r>
        <w:rPr>
          <w:iCs/>
          <w:i/>
        </w:rPr>
        <w:t xml:space="preserve">SD</w:t>
      </w:r>
      <w:r>
        <w:t xml:space="preserve"> </w:t>
      </w:r>
      <w:r>
        <w:t xml:space="preserve">= ). We decided for this age cut-off to reduce the effect of healthy age-related cognitive decline on speeded cognitive tasks, which becomes more pronounced after age 30</w:t>
      </w:r>
      <w:r>
        <w:t xml:space="preserve"> </w:t>
      </w:r>
      <w:r>
        <w:t xml:space="preserve">(Salthouse, 2010)</w:t>
      </w:r>
      <w:r>
        <w:t xml:space="preserve">. Recruitment took place through Prolific Academic [www.prolific.co]. The sample was balanced to include roughly 50% males. Participants were eligible for the study if they were from the United States and if they spoke fluent English. Finally, we used the MacArthur’s ladder for perceived social-economic status (SES) as used in Prolific’s pre-screening battery to ensure that 50% of the sample perceived their current SES to be low (a score of 4 or below).</w:t>
      </w:r>
    </w:p>
    <w:p>
      <w:pPr>
        <w:pStyle w:val="BodyText"/>
      </w:pPr>
      <w:r>
        <w:t xml:space="preserve">We conducted a power simulation using the</w:t>
      </w:r>
      <w:r>
        <w:t xml:space="preserve"> </w:t>
      </w:r>
      <w:r>
        <w:rPr>
          <w:iCs/>
          <w:i/>
        </w:rPr>
        <w:t xml:space="preserve">faux</w:t>
      </w:r>
      <w:r>
        <w:t xml:space="preserve"> </w:t>
      </w:r>
      <w:r>
        <w:t xml:space="preserve">package in R</w:t>
      </w:r>
      <w:r>
        <w:t xml:space="preserve"> </w:t>
      </w:r>
      <w:r>
        <w:t xml:space="preserve">(DeBruine, 2021)</w:t>
      </w:r>
      <w:r>
        <w:t xml:space="preserve"> </w:t>
      </w:r>
      <w:r>
        <w:t xml:space="preserve">to determine the optimal number of participants to include (more information including all simulation code on</w:t>
      </w:r>
      <w:r>
        <w:t xml:space="preserve"> </w:t>
      </w:r>
      <w:hyperlink r:id="rId22">
        <w:r>
          <w:rPr>
            <w:rStyle w:val="Hyperlink"/>
          </w:rPr>
          <w:t xml:space="preserve">Github</w:t>
        </w:r>
      </w:hyperlink>
      <w:r>
        <w:t xml:space="preserve">). Assuming an effect size of</w:t>
      </w:r>
      <w:r>
        <w:t xml:space="preserve"> </w:t>
      </w:r>
      <m:oMath>
        <m:r>
          <m:t>β</m:t>
        </m:r>
      </m:oMath>
      <w:r>
        <w:t xml:space="preserve"> </w:t>
      </w:r>
      <w:r>
        <w:t xml:space="preserve">= 0.1 and a DDM parameter recovery accuracy of</w:t>
      </w:r>
      <w:r>
        <w:t xml:space="preserve"> </w:t>
      </w:r>
      <w:r>
        <w:rPr>
          <w:iCs/>
          <w:i/>
        </w:rPr>
        <w:t xml:space="preserve">r</w:t>
      </w:r>
      <w:r>
        <w:t xml:space="preserve"> </w:t>
      </w:r>
      <w:r>
        <w:t xml:space="preserve">= .85, we estimated that we would need 500 participants to achieve at least 80% power. We sampled a total of 550 participants to account for necessary exclusions (based on our experiences in the pilot study).</w:t>
      </w:r>
    </w:p>
    <w:bookmarkEnd w:id="23"/>
    <w:bookmarkStart w:id="24" w:name="exclusion"/>
    <w:p>
      <w:pPr>
        <w:pStyle w:val="Heading2"/>
      </w:pPr>
      <w:r>
        <w:t xml:space="preserve">Exclusion criteria</w:t>
      </w:r>
    </w:p>
    <w:p>
      <w:pPr>
        <w:pStyle w:val="FirstParagraph"/>
      </w:pPr>
      <w:r>
        <w:t xml:space="preserve">We applied several exclusion criteria prior to analyzing the data. First, we excluded participants who did not complete the full study and those who did not complete all three Flanker conditions (</w:t>
      </w:r>
      <w:r>
        <w:rPr>
          <w:iCs/>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Cs/>
          <w:i/>
        </w:rPr>
        <w:t xml:space="preserve">N</w:t>
      </w:r>
      <w:r>
        <w:t xml:space="preserve"> </w:t>
      </w:r>
      <w:r>
        <w:t xml:space="preserve">= ). Third, we excluded participants whose screen height was &lt; 700 pixels, or whose screen height was bigger than their screen width (suggesting that they did not complete the experiment on a laptop or desktop pc). Finally, we screened participants’ accuracy on the Flanker task within each condition. Using a binomial distribution, we calculated that if a participant would be purely guessing on each trial, they would have a probability of 97.5% of obtaining an overall accuracy of 59.4%. Therefore, we excluded participant’s data on a particular condition if their accuracy on that condition was below 60%.</w:t>
      </w:r>
    </w:p>
    <w:p>
      <w:pPr>
        <w:pStyle w:val="BodyText"/>
      </w:pPr>
      <w:r>
        <w:t xml:space="preserve">In addition, we screened the reaction times on the Flanker Task. For the Drift Diffusion analyses, it is important that each response is generated by a process of active information accumulation (i.e., a diffusion process, as opposed to guessing). To this end, trials with reaction times &lt; 250 ms or &gt; 3500 ms</w:t>
      </w:r>
      <w:r>
        <w:t xml:space="preserve"> </w:t>
      </w:r>
      <w:r>
        <w:t xml:space="preserve">(Ratcliff &amp; Childers, 2015)</w:t>
      </w:r>
      <w:r>
        <w:t xml:space="preserve"> </w:t>
      </w:r>
      <w:r>
        <w:t xml:space="preserve">were excluded from the analyses (</w:t>
      </w:r>
      <w:r>
        <w:rPr>
          <w:iCs/>
          <w:i/>
        </w:rPr>
        <w:t xml:space="preserve">N</w:t>
      </w:r>
      <w:r>
        <w:t xml:space="preserve"> </w:t>
      </w:r>
      <w:r>
        <w:t xml:space="preserve">= ). Participants with more than 10 removed trials were excluded from the analyses (N = ). Finally, we logged whether participants exited full-screen mode and/or engaged with other browser tabs (i.e., blur events) at any point during the Flanker Task. We excluded participants for whom blur events occurred while a Flanker block was ongoing (but not while reading instructions or taking breaks in between conditions). Full-screen exits were included in the</w:t>
      </w:r>
      <w:r>
        <w:t xml:space="preserve"> </w:t>
      </w:r>
      <w:hyperlink w:anchor="multiverse_plan">
        <w:r>
          <w:rPr>
            <w:rStyle w:val="Hyperlink"/>
          </w:rPr>
          <w:t xml:space="preserve">multiverse analysis</w:t>
        </w:r>
      </w:hyperlink>
      <w:r>
        <w:t xml:space="preserve">.</w:t>
      </w:r>
    </w:p>
    <w:bookmarkEnd w:id="24"/>
    <w:bookmarkStart w:id="33" w:name="measures"/>
    <w:p>
      <w:pPr>
        <w:pStyle w:val="Heading2"/>
      </w:pPr>
      <w:r>
        <w:t xml:space="preserve">Measures</w:t>
      </w:r>
    </w:p>
    <w:p>
      <w:pPr>
        <w:pStyle w:val="FirstParagraph"/>
      </w:pPr>
      <w:r>
        <w:t xml:space="preserve">Based on participant feedback in the pilot study, we changed (the wording of) a number of questionnaire items in order to make them more inclusive. We added an item asking about the participant’s family composition. In addition, all mentions of</w:t>
      </w:r>
      <w:r>
        <w:t xml:space="preserve"> </w:t>
      </w:r>
      <w:r>
        <w:t xml:space="preserve">‘</w:t>
      </w:r>
      <w:r>
        <w:t xml:space="preserve">parent(s)</w:t>
      </w:r>
      <w:r>
        <w:t xml:space="preserve">’</w:t>
      </w:r>
      <w:r>
        <w:t xml:space="preserve"> </w:t>
      </w:r>
      <w:r>
        <w:t xml:space="preserve">across questionnaires were changed to</w:t>
      </w:r>
      <w:r>
        <w:t xml:space="preserve"> </w:t>
      </w:r>
      <w:r>
        <w:t xml:space="preserve">‘</w:t>
      </w:r>
      <w:r>
        <w:t xml:space="preserve">caregiver(s)</w:t>
      </w:r>
      <w:r>
        <w:t xml:space="preserve">’</w:t>
      </w:r>
      <w:r>
        <w:t xml:space="preserve"> </w:t>
      </w:r>
      <w:r>
        <w:t xml:space="preserve">(e.g.,</w:t>
      </w:r>
      <w:r>
        <w:t xml:space="preserve"> </w:t>
      </w:r>
      <w:r>
        <w:t xml:space="preserve">“</w:t>
      </w:r>
      <w:r>
        <w:t xml:space="preserve">At least one of my caregivers had punishments that were unpredictable</w:t>
      </w:r>
      <w:r>
        <w:t xml:space="preserve">”</w:t>
      </w:r>
      <w:r>
        <w:t xml:space="preserve">). We also added a question asking about the participant’s exact family composition.</w:t>
      </w:r>
    </w:p>
    <w:bookmarkStart w:id="25" w:name="flanker"/>
    <w:p>
      <w:pPr>
        <w:pStyle w:val="Heading3"/>
      </w:pPr>
      <w:r>
        <w:t xml:space="preserve">Flanker Task</w:t>
      </w:r>
    </w:p>
    <w:p>
      <w:pPr>
        <w:pStyle w:val="FirstParagraph"/>
      </w:pPr>
      <w:r>
        <w:t xml:space="preserve">The Flanker Task is commonly used as a measure of selective attention and response inhibition</w:t>
      </w:r>
      <w:r>
        <w:t xml:space="preserve"> </w:t>
      </w:r>
      <w:r>
        <w:t xml:space="preserve">(Eriksen &amp; Eriksen, 1974)</w:t>
      </w:r>
      <w:r>
        <w:t xml:space="preserve">. On each trial of a typical Flanker Task, participants are presented with a set of five arrows pointing either left or right. Their job is to indicate the direction of the central arrow while ignoring the flanking arrows to the left and right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On 50% of the trials, the flanking arrows point in the same direction as the central arrow (i.e., congruent trials), and on the other 50% of the trials they point in the opposite direction (i.e., incongruent trials).</w:t>
      </w:r>
    </w:p>
    <w:p>
      <w:pPr>
        <w:pStyle w:val="BodyText"/>
      </w:pPr>
      <w:r>
        <w:t xml:space="preserve">The Flanker Task was programmed in JsPsych version 6.3.1</w:t>
      </w:r>
      <w:r>
        <w:t xml:space="preserve"> </w:t>
      </w:r>
      <w:r>
        <w:t xml:space="preserve">(Leeuw, 2015)</w:t>
      </w:r>
      <w:r>
        <w:t xml:space="preserve">. We programmed three conditions of the Flanker Task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standard condition, the arrows were 40 pixels in size (0.4 inches) and had zero padding between them. In the</w:t>
      </w:r>
      <w:r>
        <w:t xml:space="preserve"> </w:t>
      </w:r>
      <w:r>
        <w:t xml:space="preserve">‘</w:t>
      </w:r>
      <w:r>
        <w:t xml:space="preserve">enhanced</w:t>
      </w:r>
      <w:r>
        <w:t xml:space="preserve">’</w:t>
      </w:r>
      <w:r>
        <w:t xml:space="preserve"> </w:t>
      </w:r>
      <w:r>
        <w:t xml:space="preserve">condition, the aim was to increase the quality of visual information provided by the arrows. To this end, we increased the arrow size by 12.5% to 45 pixels (0.45 inches), and increased padding between the arrows to 5 pixels. This increased the width of the Flanker display by 50% with respect to the standard display. In the</w:t>
      </w:r>
      <w:r>
        <w:t xml:space="preserve"> </w:t>
      </w:r>
      <w:r>
        <w:t xml:space="preserve">‘</w:t>
      </w:r>
      <w:r>
        <w:t xml:space="preserve">degraded</w:t>
      </w:r>
      <w:r>
        <w:t xml:space="preserve">’</w:t>
      </w:r>
      <w:r>
        <w:t xml:space="preserve"> </w:t>
      </w:r>
      <w:r>
        <w:t xml:space="preserve">condition, the aim was to decrease the quality of visual information provided by the arrows. The arrow size and padding were the same as in the standard version, but both flanking and target arrows were rotated 45</w:t>
      </w:r>
      <m:oMath>
        <m:sSup>
          <m:e>
            <m:r>
              <m:t>​</m:t>
            </m:r>
          </m:e>
          <m:sup>
            <m:r>
              <m:rPr>
                <m:sty m:val="p"/>
              </m:rPr>
              <m:t>∘</m:t>
            </m:r>
          </m:sup>
        </m:sSup>
      </m:oMath>
      <w:r>
        <w:t xml:space="preserve">. Therefore, they provided more noisy information about their horizontal direction. We had no strong</w:t>
      </w:r>
      <w:r>
        <w:t xml:space="preserve"> </w:t>
      </w:r>
      <w:r>
        <w:rPr>
          <w:iCs/>
          <w:i/>
        </w:rPr>
        <w:t xml:space="preserve">a priori</w:t>
      </w:r>
      <w:r>
        <w:t xml:space="preserve"> </w:t>
      </w:r>
      <w:r>
        <w:t xml:space="preserve">expectations about how performance of adversity-exposed people might be affected by specific types of stimulus degradation (e.g., arrow rotation, decreasing stimulus contrast).</w:t>
      </w:r>
    </w:p>
    <w:p>
      <w:pPr>
        <w:pStyle w:val="BodyText"/>
      </w:pPr>
      <w:r>
        <w:t xml:space="preserve">Participants completed each condition of the Flanker Task separately in different blocks. The presentation order of the conditions was randomized. Each condition consisted of 64 trials. For the degraded condition, participants completed four repetitions of all parameter combinations: Arrow location (top vs. bottom) X central arrow direction (left-up vs. left-down vs. right-up, vs right-down) X congruency: (congruent vs. incongruent). For the standard and enhanced condition, participants completed eight repetitions of all parameter combinations to match the number of trials in the degraded condition: Arrow location (top vs. bottom) X central arrow direction (left-up vs. left-down vs. right-up, vs right-down) X congruency: (congruent vs. incongruent). Across all three conditions, the arrows were randomly presented in the top-half or bottom-half of the screen at 200 pixels (2 inches) from the center of the screen. This was done to prevent participants from rigidly fixating on the center of the screen, which might reduce the interfering effect of the flanking arrows. Each trial started with a fixation cross presented at the center of the screen. After a delay of 1000ms, the arrows are presented either in the top- or bottom-half of the screen.</w:t>
      </w:r>
    </w:p>
    <w:p>
      <w:pPr>
        <w:pStyle w:val="BodyText"/>
      </w:pPr>
      <w:r>
        <w:t xml:space="preserve">Prior to each block, participants performed eight practice trials of the current condition. During practice, participants received performance feedback after each trial (either</w:t>
      </w:r>
      <w:r>
        <w:t xml:space="preserve"> </w:t>
      </w:r>
      <w:r>
        <w:t xml:space="preserve">“</w:t>
      </w:r>
      <w:r>
        <w:t xml:space="preserve">Correct!</w:t>
      </w:r>
      <w:r>
        <w:t xml:space="preserve">”</w:t>
      </w:r>
      <w:r>
        <w:t xml:space="preserve"> </w:t>
      </w:r>
      <w:r>
        <w:t xml:space="preserve">printed in green,</w:t>
      </w:r>
      <w:r>
        <w:t xml:space="preserve"> </w:t>
      </w:r>
      <w:r>
        <w:t xml:space="preserve">“</w:t>
      </w:r>
      <w:r>
        <w:t xml:space="preserve">Incorrect!</w:t>
      </w:r>
      <w:r>
        <w:t xml:space="preserve">”</w:t>
      </w:r>
      <w:r>
        <w:t xml:space="preserve"> </w:t>
      </w:r>
      <w:r>
        <w:t xml:space="preserve">printed in red, or</w:t>
      </w:r>
      <w:r>
        <w:t xml:space="preserve"> </w:t>
      </w:r>
      <w:r>
        <w:t xml:space="preserve">“</w:t>
      </w:r>
      <w:r>
        <w:t xml:space="preserve">Too slow!</w:t>
      </w:r>
      <w:r>
        <w:t xml:space="preserve">”</w:t>
      </w:r>
      <w:r>
        <w:t xml:space="preserve"> </w:t>
      </w:r>
      <w:r>
        <w:t xml:space="preserve">printed in red if their response latency exceeded 2000 ms). After completing the practice trials, participants completed each block with the opportunity to take a break in between. At the onset of each block, participants were told what the current condition was. No performance feedback of any kind was provided during the test blocks. The main performance measures were RTs and accuracy for each condition.</w:t>
      </w:r>
    </w:p>
    <w:bookmarkEnd w:id="25"/>
    <w:bookmarkStart w:id="26" w:name="state"/>
    <w:p>
      <w:pPr>
        <w:pStyle w:val="Heading3"/>
      </w:pPr>
      <w:r>
        <w:t xml:space="preserve">Current state</w:t>
      </w:r>
    </w:p>
    <w:p>
      <w:pPr>
        <w:pStyle w:val="FirstParagraph"/>
      </w:pPr>
      <w:r>
        <w:t xml:space="preserve">We assessed state anxiety during the experiment using the state subscale of the State-Trait Anxiety Inventory [STAI-S;</w:t>
      </w:r>
      <w:r>
        <w:t xml:space="preserve"> </w:t>
      </w:r>
      <w:r>
        <w:t xml:space="preserve">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 We computed an overall sleep deprivation composite by standardizing and averaging across the two unweighted sleep-related items (</w:t>
      </w:r>
      <w:r>
        <w:rPr>
          <w:iCs/>
          <w:i/>
        </w:rPr>
        <w:t xml:space="preserve">M</w:t>
      </w:r>
      <w:r>
        <w:t xml:space="preserve"> </w:t>
      </w:r>
      <w:r>
        <w:t xml:space="preserve">= ,</w:t>
      </w:r>
      <w:r>
        <w:t xml:space="preserve"> </w:t>
      </w:r>
      <w:r>
        <w:rPr>
          <w:iCs/>
          <w:i/>
        </w:rPr>
        <w:t xml:space="preserve">SD</w:t>
      </w:r>
      <w:r>
        <w:t xml:space="preserve"> </w:t>
      </w:r>
      <w:r>
        <w:t xml:space="preserve">= ).</w:t>
      </w:r>
    </w:p>
    <w:bookmarkEnd w:id="26"/>
    <w:bookmarkStart w:id="27" w:name="violence"/>
    <w:p>
      <w:pPr>
        <w:pStyle w:val="Heading3"/>
      </w:pPr>
      <w:r>
        <w:t xml:space="preserve">Violence exposure</w:t>
      </w:r>
    </w:p>
    <w:p>
      <w:pPr>
        <w:pStyle w:val="FirstParagraph"/>
      </w:pPr>
      <w:r>
        <w:t xml:space="preserve">Violence exposure was measured using the Neighborhood Violence Scale [NVS;</w:t>
      </w:r>
      <w:r>
        <w:t xml:space="preserve"> </w:t>
      </w:r>
      <w:r>
        <w:t xml:space="preserve">Frankenhuis &amp; Bijlstra (2018)</w:t>
      </w:r>
      <w:r>
        <w:t xml:space="preserve">;</w:t>
      </w:r>
      <w:r>
        <w:t xml:space="preserve"> </w:t>
      </w:r>
      <w:r>
        <w:t xml:space="preserve">Frankenhuis et al. (2020)</w:t>
      </w:r>
      <w:r>
        <w:t xml:space="preserve">] 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calculating an unweighted average (</w:t>
      </w:r>
      <w:r>
        <w:rPr>
          <w:iCs/>
          <w:i/>
        </w:rPr>
        <w:t xml:space="preserve">r</w:t>
      </w:r>
      <w:r>
        <w:t xml:space="preserve"> </w:t>
      </w:r>
      <w:r>
        <w:t xml:space="preserve">= ).</w:t>
      </w:r>
    </w:p>
    <w:bookmarkEnd w:id="27"/>
    <w:bookmarkStart w:id="28" w:name="unpred"/>
    <w:p>
      <w:pPr>
        <w:pStyle w:val="Heading3"/>
      </w:pPr>
      <w:r>
        <w:t xml:space="preserve">Unpredictability</w:t>
      </w:r>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an adaptation of the Questionnaire of Unpredictability in Childhood [QUIC;</w:t>
      </w:r>
      <w:r>
        <w:t xml:space="preserve"> </w:t>
      </w:r>
      <w:r>
        <w:t xml:space="preserve">Glynn et al. (2019)</w:t>
      </w:r>
      <w:r>
        <w:t xml:space="preserve">], and two scales measuring change in the family and social environment.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S3</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The QUIC distinguishes between items capturing more short-term unpredictability (i.e., on the level of seconds to minutes) and more long-term unpredictability (i.e., on the level of days to months). The scale of perceived childhood unpredictability combines items on different time scales. Some items measure unpredictability on a relatively short-term scale (e.g., item 1) while other items measure unpredictability on a long-term scale (e.g., item 3). Unpredictability on different time scales might have different effects on the development of specific attention styles.</w:t>
      </w:r>
    </w:p>
    <w:p>
      <w:pPr>
        <w:pStyle w:val="BodyText"/>
      </w:pPr>
      <w:r>
        <w:t xml:space="preserve">We included all five scales of the QUIC: 1) Parental monitoring and involvement, 2) Parental predictability, 3) Parental environment, 4) Physical environment, and 3) Safety and security (See</w:t>
      </w:r>
      <w:r>
        <w:t xml:space="preserve"> </w:t>
      </w:r>
      <w:hyperlink w:anchor="appendix">
        <w:r>
          <w:rPr>
            <w:rStyle w:val="Hyperlink"/>
          </w:rPr>
          <w:t xml:space="preserve">Table S4</w:t>
        </w:r>
      </w:hyperlink>
      <w:r>
        <w:t xml:space="preserve"> </w:t>
      </w:r>
      <w:r>
        <w:t xml:space="preserve">for an overview of all items). The items of the Parental environment subscale deviated most from the original.</w:t>
      </w:r>
    </w:p>
    <w:p>
      <w:pPr>
        <w:pStyle w:val="BodyText"/>
      </w:pPr>
      <w:r>
        <w:t xml:space="preserve">We made three general changes to the original scale as described in</w:t>
      </w:r>
      <w:r>
        <w:t xml:space="preserve"> </w:t>
      </w:r>
      <w:r>
        <w:t xml:space="preserve">Glynn et al. (2019)</w:t>
      </w:r>
      <w:r>
        <w:t xml:space="preserve">. First, we adapted all items to refer to experiences before age 13. This was done to reduce cognitive load from having to go back-and-forth between different time scales. Second, most items were rated on a scale of 1 (never true) to 5 (very often true) instead of the original yes/no answer format. An exception was made for four items of the parental environment scale which asked for more specific experiences (e.g.,</w:t>
      </w:r>
      <w:r>
        <w:t xml:space="preserve"> </w:t>
      </w:r>
      <w:r>
        <w:t xml:space="preserve">“</w:t>
      </w:r>
      <w:r>
        <w:t xml:space="preserve">I experienced changes in my custody arrangement</w:t>
      </w:r>
      <w:r>
        <w:t xml:space="preserve">”</w:t>
      </w:r>
      <w:r>
        <w:t xml:space="preserve">; see</w:t>
      </w:r>
      <w:r>
        <w:t xml:space="preserve"> </w:t>
      </w:r>
      <w:hyperlink w:anchor="appendix">
        <w:r>
          <w:rPr>
            <w:rStyle w:val="Hyperlink"/>
          </w:rPr>
          <w:t xml:space="preserve">Table S4</w:t>
        </w:r>
      </w:hyperlink>
      <w:r>
        <w:t xml:space="preserve">). For these items, we adopted a response scale with the options</w:t>
      </w:r>
      <w:r>
        <w:t xml:space="preserve"> </w:t>
      </w:r>
      <w:r>
        <w:t xml:space="preserve">“</w:t>
      </w:r>
      <w:r>
        <w:t xml:space="preserve">never</w:t>
      </w:r>
      <w:r>
        <w:t xml:space="preserve">”</w:t>
      </w:r>
      <w:r>
        <w:t xml:space="preserve">,</w:t>
      </w:r>
      <w:r>
        <w:t xml:space="preserve"> </w:t>
      </w:r>
      <w:r>
        <w:t xml:space="preserve">“</w:t>
      </w:r>
      <w:r>
        <w:t xml:space="preserve">only once</w:t>
      </w:r>
      <w:r>
        <w:t xml:space="preserve">”</w:t>
      </w:r>
      <w:r>
        <w:t xml:space="preserve">,</w:t>
      </w:r>
      <w:r>
        <w:t xml:space="preserve"> </w:t>
      </w:r>
      <w:r>
        <w:t xml:space="preserve">“</w:t>
      </w:r>
      <w:r>
        <w:t xml:space="preserve">a couple times</w:t>
      </w:r>
      <w:r>
        <w:t xml:space="preserve">”</w:t>
      </w:r>
      <w:r>
        <w:t xml:space="preserve">,</w:t>
      </w:r>
      <w:r>
        <w:t xml:space="preserve"> </w:t>
      </w:r>
      <w:r>
        <w:t xml:space="preserve">“</w:t>
      </w:r>
      <w:r>
        <w:t xml:space="preserve">several times</w:t>
      </w:r>
      <w:r>
        <w:t xml:space="preserve">”</w:t>
      </w:r>
      <w:r>
        <w:t xml:space="preserve">,</w:t>
      </w:r>
      <w:r>
        <w:t xml:space="preserve"> </w:t>
      </w:r>
      <w:r>
        <w:t xml:space="preserve">“</w:t>
      </w:r>
      <w:r>
        <w:t xml:space="preserve">many times</w:t>
      </w:r>
      <w:r>
        <w:t xml:space="preserve">”</w:t>
      </w:r>
      <w:r>
        <w:t xml:space="preserve">. Third, quantifiers such as</w:t>
      </w:r>
      <w:r>
        <w:t xml:space="preserve"> </w:t>
      </w:r>
      <w:r>
        <w:t xml:space="preserve">“</w:t>
      </w:r>
      <w:r>
        <w:t xml:space="preserve">frequently</w:t>
      </w:r>
      <w:r>
        <w:t xml:space="preserve">”</w:t>
      </w:r>
      <w:r>
        <w:t xml:space="preserve">,</w:t>
      </w:r>
      <w:r>
        <w:t xml:space="preserve"> </w:t>
      </w:r>
      <w:r>
        <w:t xml:space="preserve">“</w:t>
      </w:r>
      <w:r>
        <w:t xml:space="preserve">often</w:t>
      </w:r>
      <w:r>
        <w:t xml:space="preserve">”</w:t>
      </w:r>
      <w:r>
        <w:t xml:space="preserve">, and</w:t>
      </w:r>
      <w:r>
        <w:t xml:space="preserve"> </w:t>
      </w:r>
      <w:r>
        <w:t xml:space="preserve">“</w:t>
      </w:r>
      <w:r>
        <w:t xml:space="preserve">There was a period of time when […]</w:t>
      </w:r>
      <w:r>
        <w:t xml:space="preserve">”</w:t>
      </w:r>
      <w:r>
        <w:t xml:space="preserve"> </w:t>
      </w:r>
      <w:r>
        <w:t xml:space="preserve">were dropped to better match the response scale. We excluded the item</w:t>
      </w:r>
      <w:r>
        <w:t xml:space="preserve"> </w:t>
      </w:r>
      <w:r>
        <w:t xml:space="preserve">“</w:t>
      </w:r>
      <w:r>
        <w:t xml:space="preserve">My parents got divorced</w:t>
      </w:r>
      <w:r>
        <w:t xml:space="preserve">”</w:t>
      </w:r>
      <w:r>
        <w:t xml:space="preserve"> </w:t>
      </w:r>
      <w:r>
        <w:t xml:space="preserve">because it did not fit the response format and was captured by one of the items of the perceived unpredictability scale.</w:t>
      </w:r>
    </w:p>
    <w:p>
      <w:pPr>
        <w:pStyle w:val="BodyText"/>
      </w:pPr>
      <w:r>
        <w:t xml:space="preserve">We assessed household chaos before age 13 using an adaptation of the Confusion, Hubbub, and Order Scale [CHAOS;</w:t>
      </w:r>
      <w:r>
        <w:t xml:space="preserve"> </w:t>
      </w:r>
      <w:r>
        <w:t xml:space="preserve">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In addition, we measured the stability of the family and social environment. On a scale of 1 (the same all the time) to 5 (constant and rapid changes), participants indicated how often the following aspects of their family and social environment changed before age 13: 1) economic status, 2) family environment, 3) childhood neighborhood environment, and 4) childhood school environment. Finally, we included several objective proxy measures of unpredictability before age 13: 1)</w:t>
      </w:r>
      <w:r>
        <w:t xml:space="preserve"> </w:t>
      </w:r>
      <w:r>
        <w:t xml:space="preserve">“</w:t>
      </w:r>
      <w:r>
        <w:t xml:space="preserve">How often did you move</w:t>
      </w:r>
      <w:r>
        <w:t xml:space="preserve">”</w:t>
      </w:r>
      <w:r>
        <w:t xml:space="preserve">, 2)</w:t>
      </w:r>
      <w:r>
        <w:t xml:space="preserve"> </w:t>
      </w:r>
      <w:r>
        <w:t xml:space="preserve">“</w:t>
      </w:r>
      <w:r>
        <w:t xml:space="preserve">Before age 13, did any other adults besides your caregivers live in your primary residence?</w:t>
      </w:r>
      <w:r>
        <w:t xml:space="preserve">”</w:t>
      </w:r>
      <w:r>
        <w:t xml:space="preserve">. If the participant answered</w:t>
      </w:r>
      <w:r>
        <w:t xml:space="preserve"> </w:t>
      </w:r>
      <w:r>
        <w:t xml:space="preserve">“</w:t>
      </w:r>
      <w:r>
        <w:t xml:space="preserve">yes</w:t>
      </w:r>
      <w:r>
        <w:t xml:space="preserve">”</w:t>
      </w:r>
      <w:r>
        <w:t xml:space="preserve"> </w:t>
      </w:r>
      <w:r>
        <w:t xml:space="preserve">to this question, two additional questions asked about the number of different adult women (men) that lived in their primary residence for a period of time besides their primary caregiver. 3) If the participant indicated more adults living in the household besides their primary caregiver, this was followed up by items asking how many of these individuals were romantically involved with their caregiver.</w:t>
      </w:r>
    </w:p>
    <w:p>
      <w:pPr>
        <w:pStyle w:val="BodyText"/>
      </w:pPr>
      <w:r>
        <w:t xml:space="preserve">four objective measures of unpredictability before age 13. Participants provided answers to the following items in an open response format: 1)</w:t>
      </w:r>
      <w:r>
        <w:t xml:space="preserve"> </w:t>
      </w:r>
      <w:r>
        <w:t xml:space="preserve">“</w:t>
      </w:r>
      <w:r>
        <w:t xml:space="preserve">How often did you move?</w:t>
      </w:r>
      <w:r>
        <w:t xml:space="preserve">”</w:t>
      </w:r>
      <w:r>
        <w:t xml:space="preserve">; 2)</w:t>
      </w:r>
      <w:r>
        <w:t xml:space="preserve"> </w:t>
      </w:r>
      <w:r>
        <w:t xml:space="preserve">“</w:t>
      </w:r>
      <w:r>
        <w:t xml:space="preserve">How many adults lived in your home on average?</w:t>
      </w:r>
      <w:r>
        <w:t xml:space="preserve">”</w:t>
      </w:r>
      <w:r>
        <w:t xml:space="preserve">; 3)</w:t>
      </w:r>
      <w:r>
        <w:t xml:space="preserve"> </w:t>
      </w:r>
      <w:r>
        <w:t xml:space="preserve">“</w:t>
      </w:r>
      <w:r>
        <w:t xml:space="preserve">Think about the caregiver who had the most romantic partners before you were age 13. How many romantic partners did this person have?</w:t>
      </w:r>
      <w:r>
        <w:t xml:space="preserve">”</w:t>
      </w:r>
      <w:r>
        <w:t xml:space="preserve">.</w:t>
      </w:r>
    </w:p>
    <w:p>
      <w:pPr>
        <w:pStyle w:val="BodyText"/>
      </w:pPr>
      <w:r>
        <w:t xml:space="preserve">We computed four main unpredictability variables to be able to assess how they would relate to the dependent variables as well as to each other: 1)</w:t>
      </w:r>
      <w:r>
        <w:t xml:space="preserve"> </w:t>
      </w:r>
      <w:r>
        <w:rPr>
          <w:iCs/>
          <w:i/>
        </w:rPr>
        <w:t xml:space="preserve">unpredictability</w:t>
      </w:r>
      <w:r>
        <w:rPr>
          <w:vertAlign w:val="subscript"/>
          <w:iCs/>
          <w:i/>
        </w:rPr>
        <w:t xml:space="preserve">perceived</w:t>
      </w:r>
      <w:r>
        <w:t xml:space="preserve">: containing all items of the perceived unpredictability scale and the QUIC, given their close conceptual overlap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w:t>
      </w:r>
      <w:r>
        <w:t xml:space="preserve"> </w:t>
      </w:r>
      <w:r>
        <w:rPr>
          <w:iCs/>
          <w:i/>
        </w:rPr>
        <w:t xml:space="preserve">r</w:t>
      </w:r>
      <w:r>
        <w:t xml:space="preserve"> </w:t>
      </w:r>
      <w:r>
        <w:t xml:space="preserve">= between the two scales); 2)</w:t>
      </w:r>
      <w:r>
        <w:t xml:space="preserve"> </w:t>
      </w:r>
      <w:r>
        <w:rPr>
          <w:iCs/>
          <w:i/>
        </w:rPr>
        <w:t xml:space="preserve">unpredictability</w:t>
      </w:r>
      <w:r>
        <w:rPr>
          <w:vertAlign w:val="subscript"/>
          <w:iCs/>
          <w:i/>
        </w:rPr>
        <w:t xml:space="preserve">CHAOS</w:t>
      </w:r>
      <w:r>
        <w:t xml:space="preserve">: containing the items of the CHAOS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w:t>
      </w:r>
      <w:r>
        <w:t xml:space="preserve"> </w:t>
      </w:r>
      <w:r>
        <w:rPr>
          <w:iCs/>
          <w:i/>
        </w:rPr>
        <w:t xml:space="preserve">unpredictability</w:t>
      </w:r>
      <w:r>
        <w:rPr>
          <w:vertAlign w:val="subscript"/>
          <w:iCs/>
          <w:i/>
        </w:rPr>
        <w:t xml:space="preserve">subjective</w:t>
      </w:r>
      <w:r>
        <w:t xml:space="preserve">: containing all items of the perceived unpredictability scale, the QUIC and the CHAOS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4)</w:t>
      </w:r>
      <w:r>
        <w:t xml:space="preserve"> </w:t>
      </w:r>
      <w:r>
        <w:rPr>
          <w:iCs/>
          <w:i/>
        </w:rPr>
        <w:t xml:space="preserve">unpredictability~objective</w:t>
      </w:r>
      <w:r>
        <w:t xml:space="preserve">: containing the items assessing the stability of the family- and social environment, as well as the three objective measures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We computed several unweighted unpredictability variables to be able to assess how they would relate to the dependent variables as well as to each other: 1) overall perceived unpredictability variable containing all eight items of the perceived unpredictability scale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2) an overall QUIC variable by averaging all 37 items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predictability: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Physical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Safety and security: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See also</w:t>
      </w:r>
      <w:r>
        <w:t xml:space="preserve"> </w:t>
      </w:r>
      <w:hyperlink w:anchor="efa">
        <w:r>
          <w:rPr>
            <w:rStyle w:val="Hyperlink"/>
          </w:rPr>
          <w:t xml:space="preserve">below</w:t>
        </w:r>
      </w:hyperlink>
      <w:r>
        <w:t xml:space="preserve"> </w:t>
      </w:r>
      <w:r>
        <w:t xml:space="preserve">for details on a factor analysis based on the individual items across scales.</w:t>
      </w:r>
    </w:p>
    <w:bookmarkEnd w:id="28"/>
    <w:bookmarkStart w:id="29" w:name="ses"/>
    <w:p>
      <w:pPr>
        <w:pStyle w:val="Heading3"/>
      </w:pPr>
      <w:r>
        <w:t xml:space="preserve">Poverty exposure</w:t>
      </w:r>
    </w:p>
    <w:p>
      <w:pPr>
        <w:pStyle w:val="FirstParagraph"/>
      </w:pPr>
      <w:r>
        <w:t xml:space="preserve">Participants’ perceived level of resource scarcity before age 13 was measured using seven items (e.g.,</w:t>
      </w:r>
      <w:r>
        <w:t xml:space="preserve"> </w:t>
      </w:r>
      <w:r>
        <w:t xml:space="preserve">“</w:t>
      </w:r>
      <w:r>
        <w:t xml:space="preserve">Your family had enough money to afford the kind of home 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item on a scale from 1 (never true) to 5 (very often true). Scores for the first six items were reverse coded so that higher scores indicated more perceived resource scarcity. The items were averaged together to create an unweighted composite scale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two primary caregivers (if applicable)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caregivers’ education level were averaged to create an overall unweighted parental education composite (</w:t>
      </w:r>
      <w:r>
        <w:rPr>
          <w:iCs/>
          <w:i/>
        </w:rPr>
        <w:t xml:space="preserve">M</w:t>
      </w:r>
      <w:r>
        <w:t xml:space="preserve"> </w:t>
      </w:r>
      <w:r>
        <w:t xml:space="preserve">= ,</w:t>
      </w:r>
      <w:r>
        <w:t xml:space="preserve"> </w:t>
      </w:r>
      <w:r>
        <w:rPr>
          <w:iCs/>
          <w:i/>
        </w:rPr>
        <w:t xml:space="preserve">SD</w:t>
      </w:r>
      <w:r>
        <w:t xml:space="preserve"> </w:t>
      </w:r>
      <w:r>
        <w:t xml:space="preserve">= ). Participants also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caregiver education, and household income.</w:t>
      </w:r>
    </w:p>
    <w:bookmarkEnd w:id="29"/>
    <w:bookmarkStart w:id="30" w:name="impulsivity"/>
    <w:p>
      <w:pPr>
        <w:pStyle w:val="Heading3"/>
      </w:pPr>
      <w:r>
        <w:t xml:space="preserve">Impulsivity</w:t>
      </w:r>
    </w:p>
    <w:p>
      <w:pPr>
        <w:pStyle w:val="FirstParagraph"/>
      </w:pPr>
      <w:r>
        <w:t xml:space="preserve">We assessed impulsivity with the Motor Impulsivity subscale of the Barrett Impulsivity Scale (BIS; short form;</w:t>
      </w:r>
      <w:r>
        <w:t xml:space="preserve"> </w:t>
      </w:r>
      <w:r>
        <w:t xml:space="preserve">(Patton et al., 1995; Spinella, 2007)</w:t>
      </w:r>
      <w:r>
        <w:t xml:space="preserve">). The Motor Impulsivity subscale of the BIS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 An overall impulsivity variable was computed by averaging the five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0"/>
    <w:bookmarkStart w:id="31" w:name="future_orientation"/>
    <w:p>
      <w:pPr>
        <w:pStyle w:val="Heading3"/>
      </w:pPr>
      <w:r>
        <w:t xml:space="preserve">Future Orientation</w:t>
      </w:r>
    </w:p>
    <w:p>
      <w:pPr>
        <w:pStyle w:val="FirstParagraph"/>
      </w:pPr>
      <w:r>
        <w:t xml:space="preserve">We assessed future orientation with an adapted version of the Future Orientation Scale [FOS;</w:t>
      </w:r>
      <w:r>
        <w:t xml:space="preserve"> </w:t>
      </w:r>
      <w:r>
        <w:t xml:space="preserve">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w:t>
      </w:r>
    </w:p>
    <w:p>
      <w:pPr>
        <w:pStyle w:val="BodyText"/>
      </w:pPr>
      <w:r>
        <w:t xml:space="preserve">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money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bookmarkEnd w:id="31"/>
    <w:bookmarkStart w:id="32" w:name="depression"/>
    <w:p>
      <w:pPr>
        <w:pStyle w:val="Heading3"/>
      </w:pPr>
      <w:r>
        <w:t xml:space="preserve">Depressive symptoms</w:t>
      </w:r>
    </w:p>
    <w:p>
      <w:pPr>
        <w:pStyle w:val="FirstParagraph"/>
      </w:pPr>
      <w:r>
        <w:t xml:space="preserve">We assessed depressive symptoms during the past week using the Center for Epidemiologic Studies Depression Scale [CESD;</w:t>
      </w:r>
      <w:r>
        <w:t xml:space="preserve"> </w:t>
      </w:r>
      <w:r>
        <w:t xml:space="preserve">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 An overall depression variable was computed by averaging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2"/>
    <w:bookmarkEnd w:id="33"/>
    <w:bookmarkStart w:id="35" w:name="procedure"/>
    <w:p>
      <w:pPr>
        <w:pStyle w:val="Heading2"/>
      </w:pPr>
      <w:r>
        <w:t xml:space="preserve">Procedure</w:t>
      </w:r>
    </w:p>
    <w:p>
      <w:pPr>
        <w:pStyle w:val="FirstParagraph"/>
      </w:pPr>
      <w:r>
        <w:t xml:space="preserve">The experiment was completed on the participants’ own laptop or desktop computer and consisted of five parts (in fixed order): consent, Flanker Task, questionnaire battery, brief demographics form, and final checks including the opportunity to give feedback on the experiment. Participants were allowed to refrain from answering any of the questionnaire items, but were prompted with a warning once when moving to the next page if one of the items was not answered (which they could ignore).</w:t>
      </w:r>
    </w:p>
    <w:p>
      <w:pPr>
        <w:pStyle w:val="BodyText"/>
      </w:pPr>
      <w:r>
        <w:t xml:space="preserve">After providing consent, participants started with the Flanker Task. They were asked to complete the Flanker Task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 Code for the three tasks can be found on</w:t>
      </w:r>
      <w:r>
        <w:t xml:space="preserve"> </w:t>
      </w:r>
      <w:hyperlink r:id="rId34">
        <w:r>
          <w:rPr>
            <w:rStyle w:val="Hyperlink"/>
          </w:rPr>
          <w:t xml:space="preserve">Github</w:t>
        </w:r>
      </w:hyperlink>
      <w:r>
        <w:t xml:space="preserve">.</w:t>
      </w:r>
    </w:p>
    <w:p>
      <w:pPr>
        <w:pStyle w:val="BodyText"/>
      </w:pPr>
      <w:r>
        <w:t xml:space="preserve">After completing the Flanker task,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caregivers’ education level), occupation, and household income (current and during childhood). At the end of the experiment, we asked participants if they ever got up or were interrupted during the study, and how noisy their environment was during the attention tasks.</w:t>
      </w:r>
    </w:p>
    <w:p>
      <w:pPr>
        <w:pStyle w:val="BodyText"/>
      </w:pPr>
      <w:r>
        <w:t xml:space="preserve">The full experiment was expected to take approximately 30 minutes. Participants were paid £3.75 upon completing the full experiment.</w:t>
      </w:r>
    </w:p>
    <w:bookmarkEnd w:id="35"/>
    <w:bookmarkStart w:id="40" w:name="analysis_plan"/>
    <w:p>
      <w:pPr>
        <w:pStyle w:val="Heading2"/>
      </w:pPr>
      <w:r>
        <w:t xml:space="preserve">Data analysis</w:t>
      </w:r>
    </w:p>
    <w:bookmarkStart w:id="36" w:name="ddm_plan"/>
    <w:p>
      <w:pPr>
        <w:pStyle w:val="Heading3"/>
      </w:pPr>
      <w:r>
        <w:t xml:space="preserve">DDM estimation</w:t>
      </w:r>
    </w:p>
    <w:p>
      <w:pPr>
        <w:pStyle w:val="FirstParagraph"/>
      </w:pPr>
      <w:r>
        <w:t xml:space="preserve">The DDM analysis of the Flanker task was done using an adaptation of the standard DDM that was specifically developed to account for Flanker data: The Shrinking Spotlight model [SSP;</w:t>
      </w:r>
      <w:r>
        <w:t xml:space="preserve"> </w:t>
      </w:r>
      <w:r>
        <w:t xml:space="preserve">Grange (2016)</w:t>
      </w:r>
      <w:r>
        <w:t xml:space="preserve">;</w:t>
      </w:r>
      <w:r>
        <w:t xml:space="preserve"> </w:t>
      </w:r>
      <w:r>
        <w:t xml:space="preserve">White et al. (2018)</w:t>
      </w:r>
      <w:r>
        <w:t xml:space="preserve">;</w:t>
      </w:r>
      <w:r>
        <w:t xml:space="preserve"> </w:t>
      </w:r>
      <w:r>
        <w:t xml:space="preserve">White &amp; Curl (2018)</w:t>
      </w:r>
      <w:r>
        <w:t xml:space="preserve">;</w:t>
      </w:r>
      <w:r>
        <w:t xml:space="preserve"> </w:t>
      </w:r>
      <w:r>
        <w:t xml:space="preserve">White et al. (2011)</w:t>
      </w:r>
      <w:r>
        <w:t xml:space="preserve">]. The standard DDM model assumes a stable drift rate over time within trials (i.e., the rate of information accumulation does not change over time). However, on the Flanker Task, reaction time patterns indicate that Flankers exert their strongest effect on performance early on the trial, which then decreases over time. This effectively means that the drift rate increases over time, thus violating the basic assumption of the standard DDM</w:t>
      </w:r>
      <w:r>
        <w:t xml:space="preserve"> </w:t>
      </w:r>
      <w:r>
        <w:t xml:space="preserve">(White et al., 2011)</w:t>
      </w:r>
      <w:r>
        <w:t xml:space="preserve">. The SSP explains this pattern by assuming that attention on the Flanker task works like a spotlight that starts relatively broad, and then gradually narrows down to the central arrow over time. Each arrow provides perceptual input</w:t>
      </w:r>
      <w:r>
        <w:t xml:space="preserve"> </w:t>
      </w:r>
      <w:r>
        <w:rPr>
          <w:iCs/>
          <w:i/>
        </w:rPr>
        <w:t xml:space="preserve">p</w:t>
      </w:r>
      <w:r>
        <w:t xml:space="preserve">. If the flanking arrows are congruent, all flankers take a positive value for</w:t>
      </w:r>
      <w:r>
        <w:t xml:space="preserve"> </w:t>
      </w:r>
      <w:r>
        <w:rPr>
          <w:iCs/>
          <w:i/>
        </w:rPr>
        <w:t xml:space="preserve">p</w:t>
      </w:r>
      <w:r>
        <w:t xml:space="preserve">; if the flanking arrows are incongruent, they take a negative value for</w:t>
      </w:r>
      <w:r>
        <w:t xml:space="preserve"> </w:t>
      </w:r>
      <w:r>
        <w:rPr>
          <w:iCs/>
          <w:i/>
        </w:rPr>
        <w:t xml:space="preserve">p</w:t>
      </w:r>
      <w:r>
        <w:t xml:space="preserve"> </w:t>
      </w:r>
      <w:r>
        <w:t xml:space="preserve">while the central arrow takes a positive value. The drift rate (</w:t>
      </w:r>
      <w:r>
        <w:rPr>
          <w:iCs/>
          <w:i/>
        </w:rPr>
        <w:t xml:space="preserve">v</w:t>
      </w:r>
      <w:r>
        <w:t xml:space="preserve">) at each time point is the function of the strength of perceptual input</w:t>
      </w:r>
      <w:r>
        <w:t xml:space="preserve"> </w:t>
      </w:r>
      <w:r>
        <w:rPr>
          <w:iCs/>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Cs/>
          <w:i/>
        </w:rPr>
        <w:t xml:space="preserve">SD</w:t>
      </w:r>
      <w:r>
        <w:rPr>
          <w:vertAlign w:val="subscript"/>
          <w:iCs/>
          <w:i/>
        </w:rPr>
        <w:t xml:space="preserve">a</w:t>
      </w:r>
      <w:r>
        <w:t xml:space="preserve">) and the shrinking rate of the attentional spotlight (</w:t>
      </w:r>
      <w:r>
        <w:rPr>
          <w:iCs/>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Cs/>
          <w:i/>
        </w:rPr>
        <w:t xml:space="preserve">SD</w:t>
      </w:r>
      <w:r>
        <w:rPr>
          <w:vertAlign w:val="subscript"/>
          <w:iCs/>
          <w:i/>
        </w:rPr>
        <w:t xml:space="preserve">a</w:t>
      </w:r>
      <w:r>
        <w:t xml:space="preserve">) narrows down to the central arrow at the rate specified by</w:t>
      </w:r>
      <w:r>
        <w:t xml:space="preserve"> </w:t>
      </w:r>
      <w:r>
        <w:rPr>
          <w:iCs/>
          <w:i/>
        </w:rPr>
        <w:t xml:space="preserve">rd</w:t>
      </w:r>
      <w:r>
        <w:t xml:space="preserve">, thereby gradually decreasing the interfering noise of the flankers and increasing the signal obtained from the target.</w:t>
      </w:r>
    </w:p>
    <w:p>
      <w:pPr>
        <w:pStyle w:val="BodyText"/>
      </w:pPr>
      <w:r>
        <w:t xml:space="preserve">Model fit was done using the</w:t>
      </w:r>
      <w:r>
        <w:t xml:space="preserve"> </w:t>
      </w:r>
      <w:r>
        <w:rPr>
          <w:iCs/>
          <w:i/>
        </w:rPr>
        <w:t xml:space="preserve">flankr</w:t>
      </w:r>
      <w:r>
        <w:t xml:space="preserve"> </w:t>
      </w:r>
      <w:r>
        <w:t xml:space="preserve">package in R</w:t>
      </w:r>
      <w:r>
        <w:t xml:space="preserve"> </w:t>
      </w:r>
      <w:r>
        <w:t xml:space="preserve">(Grange, 2016)</w:t>
      </w:r>
      <w:r>
        <w:t xml:space="preserve">. The SSP model was fit to the data of each individual participant in two steps. First, we looped over 50 different sets of starting parameters with a variance of 20 to find the best starting values for each participant. This was done to prevent accidentally converging on a suboptimal solution</w:t>
      </w:r>
      <w:r>
        <w:t xml:space="preserve"> </w:t>
      </w:r>
      <w:r>
        <w:t xml:space="preserve">(Grange, 2016)</w:t>
      </w:r>
      <w:r>
        <w:t xml:space="preserve">. On this first fitting step, 1000 trials were simulated on each iteration of the fit routine. Second, once the optimal set of starting values was found, we fitted the final model using the best starting values found in step 1 and simulating 50,000 trials on each iteration.</w:t>
      </w:r>
    </w:p>
    <w:p>
      <w:pPr>
        <w:pStyle w:val="BodyText"/>
      </w:pPr>
      <w:r>
        <w:t xml:space="preserve">The model fit for all participants was assessed through QQ-plots comparing the empirical data with the model predictions following</w:t>
      </w:r>
      <w:r>
        <w:t xml:space="preserve"> </w:t>
      </w:r>
      <w:r>
        <w:t xml:space="preserve">Grange &amp; Rydon-Grange (2020)</w:t>
      </w:r>
      <w:r>
        <w:t xml:space="preserve">. Using each participant’s best-fitting parameters (based on the final step above), we simulated RTs and accuracy for 50,000 trials of each congruency condition and each Flanker version. We calculated the total proportion accuracy and the 25th, 50th, and 75th quantile of the response time distribution (correct trials only) for both the simulated data and the empirical data. The outcomes for all participants were plotted against each other. The closer the points are to the diagonal line, the better the models fit the participants’ data.</w:t>
      </w:r>
    </w:p>
    <w:p>
      <w:pPr>
        <w:pStyle w:val="BodyText"/>
      </w:pPr>
      <w:r>
        <w:t xml:space="preserve">For the analyses, we extracted the following parameters: 1) perceptual input (</w:t>
      </w:r>
      <w:r>
        <w:rPr>
          <w:iCs/>
          <w:i/>
        </w:rPr>
        <w:t xml:space="preserve">p</w:t>
      </w:r>
      <w:r>
        <w:t xml:space="preserve">); 2) boundary separation (</w:t>
      </w:r>
      <w:r>
        <w:rPr>
          <w:iCs/>
          <w:i/>
        </w:rPr>
        <w:t xml:space="preserve">A</w:t>
      </w:r>
      <w:r>
        <w:t xml:space="preserve">); 3) initial attention width (</w:t>
      </w:r>
      <w:r>
        <w:rPr>
          <w:iCs/>
          <w:i/>
        </w:rPr>
        <w:t xml:space="preserve">sd</w:t>
      </w:r>
      <w:r>
        <w:rPr>
          <w:vertAlign w:val="subscript"/>
          <w:iCs/>
          <w:i/>
        </w:rPr>
        <w:t xml:space="preserve">a</w:t>
      </w:r>
      <w:r>
        <w:t xml:space="preserve">); 4) Attention shrinking rate (</w:t>
      </w:r>
      <w:r>
        <w:rPr>
          <w:iCs/>
          <w:i/>
        </w:rPr>
        <w:t xml:space="preserve">rd</w:t>
      </w:r>
      <w:r>
        <w:t xml:space="preserve">); Interference effect (</w:t>
      </w:r>
      <w:r>
        <w:rPr>
          <w:iCs/>
          <w:i/>
        </w:rPr>
        <w:t xml:space="preserve">sd</w:t>
      </w:r>
      <w:r>
        <w:rPr>
          <w:vertAlign w:val="subscript"/>
          <w:iCs/>
          <w:i/>
        </w:rPr>
        <w:t xml:space="preserve">a</w:t>
      </w:r>
      <w:r>
        <w:t xml:space="preserve"> </w:t>
      </w:r>
      <w:r>
        <w:t xml:space="preserve">/</w:t>
      </w:r>
      <w:r>
        <w:t xml:space="preserve"> </w:t>
      </w:r>
      <w:r>
        <w:rPr>
          <w:iCs/>
          <w:i/>
        </w:rPr>
        <w:t xml:space="preserve">rd</w:t>
      </w:r>
      <w:r>
        <w:t xml:space="preserve">); 5) non-decision time (</w:t>
      </w:r>
      <w:r>
        <w:rPr>
          <w:iCs/>
          <w:i/>
        </w:rPr>
        <w:t xml:space="preserve">t0</w:t>
      </w:r>
      <w:r>
        <w:t xml:space="preserve">).</w:t>
      </w:r>
    </w:p>
    <w:bookmarkEnd w:id="36"/>
    <w:bookmarkStart w:id="37" w:name="multiverse_plan"/>
    <w:p>
      <w:pPr>
        <w:pStyle w:val="Heading3"/>
      </w:pPr>
      <w:r>
        <w:t xml:space="preserve">Multiverse analysis</w:t>
      </w:r>
    </w:p>
    <w:p>
      <w:pPr>
        <w:pStyle w:val="FirstParagraph"/>
      </w:pPr>
      <w:r>
        <w:t xml:space="preserve">Online experiments come at the trade-off of having less experimental control over the way in which participants complete the experiment and over the environment in which they do so. It is largely unclear which factors affect performance and how strong these effects are. We used multiverse analysis for all main analysis to assess the robustness of the results against various environmental factors and situations during the experiment. We identified seven arbitrary analytic decisions, including or excluding 1) participants who had a recaptcha score below 0.5 (possibly indicating bots); 2) participants who did not rescale their screen at the start of the experiment (see the</w:t>
      </w:r>
      <w:r>
        <w:t xml:space="preserve"> </w:t>
      </w:r>
      <w:hyperlink w:anchor="procedure">
        <w:r>
          <w:rPr>
            <w:rStyle w:val="Hyperlink"/>
          </w:rPr>
          <w:t xml:space="preserve">procedure section</w:t>
        </w:r>
      </w:hyperlink>
      <w:r>
        <w:t xml:space="preserve">); 3) participants who did not enter fullscreen mode prior to starting the Flanker Task; 4) participants who exited fullscreen mode at any point during the Flanker Task; 5) participants who indicated high levels of noise in their environment; indicated extreme interruptions during the experiment; 7) trials with RTs &gt; 3.2 SD (within subjects).</w:t>
      </w:r>
    </w:p>
    <w:p>
      <w:pPr>
        <w:pStyle w:val="BodyText"/>
      </w:pPr>
      <w:r>
        <w:t xml:space="preserve">For each analysis, we report the median</w:t>
      </w:r>
      <w:r>
        <w:t xml:space="preserve"> </w:t>
      </w:r>
      <m:oMath>
        <m:r>
          <m:t>β</m:t>
        </m:r>
      </m:oMath>
      <w:r>
        <w:t xml:space="preserve">, 95% confidence intervals, proportion of</w:t>
      </w:r>
      <w:r>
        <w:t xml:space="preserve"> </w:t>
      </w:r>
      <w:r>
        <w:rPr>
          <w:iCs/>
          <w:i/>
        </w:rPr>
        <w:t xml:space="preserve">p</w:t>
      </w:r>
      <w:r>
        <w:t xml:space="preserve">-values &lt; .05 across all analytic decisions. For the primary analyses, we used a bootstrapping technique to compute overall</w:t>
      </w:r>
      <w:r>
        <w:t xml:space="preserve"> </w:t>
      </w:r>
      <w:r>
        <w:rPr>
          <w:iCs/>
          <w:i/>
        </w:rPr>
        <w:t xml:space="preserve">p</w:t>
      </w:r>
      <w:r>
        <w:t xml:space="preserve">-values to assess whether the obtained median</w:t>
      </w:r>
      <w:r>
        <w:t xml:space="preserve"> </w:t>
      </w:r>
      <m:oMath>
        <m:r>
          <m:t>β</m:t>
        </m:r>
      </m:oMath>
      <w:r>
        <w:t xml:space="preserve"> </w:t>
      </w:r>
      <w:r>
        <w:t xml:space="preserve">is significantly larger than zero</w:t>
      </w:r>
      <w:r>
        <w:t xml:space="preserve"> </w:t>
      </w:r>
      <w:r>
        <w:t xml:space="preserve">(Simonsohn et al., 2020)</w:t>
      </w:r>
      <w:r>
        <w:t xml:space="preserve">.</w:t>
      </w:r>
    </w:p>
    <w:bookmarkEnd w:id="37"/>
    <w:bookmarkStart w:id="38" w:name="primary_plan"/>
    <w:p>
      <w:pPr>
        <w:pStyle w:val="Heading3"/>
      </w:pPr>
      <w:r>
        <w:t xml:space="preserve">Primary analyses</w:t>
      </w:r>
    </w:p>
    <w:p>
      <w:pPr>
        <w:pStyle w:val="FirstParagraph"/>
      </w:pPr>
      <w:r>
        <w:t xml:space="preserve">To address the</w:t>
      </w:r>
      <w:r>
        <w:t xml:space="preserve"> </w:t>
      </w:r>
      <w:hyperlink w:anchor="primary">
        <w:r>
          <w:rPr>
            <w:rStyle w:val="Hyperlink"/>
          </w:rPr>
          <w:t xml:space="preserve">first primary aim</w:t>
        </w:r>
      </w:hyperlink>
      <w:r>
        <w:t xml:space="preserve"> </w:t>
      </w:r>
      <w:r>
        <w:t xml:space="preserve">we pooled the Flanker data of the pilot study and the current study, using the standard condition of the current study. For the pooled effect of violence exposure on each of the DDM parameters, we ran initial linear models including violence exposure, study number (pilot study vs. current study, sum-coded) and their interaction as an independent variable to check whether the two studies were sufficiently similar. If the interaction was non-significant, we ran a final model version including only violence exposure to estimate the main effect. The pooled effect of violence exposure on raw RTs was assessed through linear mixed models including a random intercept per participant. Initial models included violence exposure, congruency (congruent vs. incongruent, sum-coded as -1 and 1), the violence exposure X congruency interaction, study number (pilot study vs current study, sum-coded), and the violence_exposure X study number interaction. We estimated a final model without study number if the violence exposure X study number interaction was non-significant.</w:t>
      </w:r>
    </w:p>
    <w:p>
      <w:pPr>
        <w:pStyle w:val="BodyText"/>
      </w:pPr>
      <w:r>
        <w:t xml:space="preserve">To address the</w:t>
      </w:r>
      <w:r>
        <w:t xml:space="preserve"> </w:t>
      </w:r>
      <w:hyperlink w:anchor="primary">
        <w:r>
          <w:rPr>
            <w:rStyle w:val="Hyperlink"/>
          </w:rPr>
          <w:t xml:space="preserve">second primary aim</w:t>
        </w:r>
      </w:hyperlink>
      <w:r>
        <w:t xml:space="preserve">, we analyzed the effect of violence exposure and Flanker condition type (within the current study only) on Flanker performance using linear mixed effects models with a random intercept per participant. The main dependent variables were mean RTs and the SSP parameters: Perceptual input (</w:t>
      </w:r>
      <w:r>
        <w:rPr>
          <w:iCs/>
          <w:i/>
        </w:rPr>
        <w:t xml:space="preserve">p</w:t>
      </w:r>
      <w:r>
        <w:t xml:space="preserve">), boundary separation (</w:t>
      </w:r>
      <w:r>
        <w:rPr>
          <w:iCs/>
          <w:i/>
        </w:rPr>
        <w:t xml:space="preserve">a</w:t>
      </w:r>
      <w:r>
        <w:t xml:space="preserve">), non-decision time (</w:t>
      </w:r>
      <w:r>
        <w:rPr>
          <w:iCs/>
          <w:i/>
        </w:rPr>
        <w:t xml:space="preserve">t0</w:t>
      </w:r>
      <w:r>
        <w:t xml:space="preserve">), initial attention width (</w:t>
      </w:r>
      <w:r>
        <w:rPr>
          <w:iCs/>
          <w:i/>
        </w:rPr>
        <w:t xml:space="preserve">sd</w:t>
      </w:r>
      <w:r>
        <w:rPr>
          <w:vertAlign w:val="subscript"/>
          <w:iCs/>
          <w:i/>
        </w:rPr>
        <w:t xml:space="preserve">a</w:t>
      </w:r>
      <w:r>
        <w:t xml:space="preserve">), attention shrinking rate (</w:t>
      </w:r>
      <w:r>
        <w:rPr>
          <w:iCs/>
          <w:i/>
        </w:rPr>
        <w:t xml:space="preserve">rd</w:t>
      </w:r>
      <w:r>
        <w:t xml:space="preserve">) and the interference effect (</w:t>
      </w:r>
      <w:r>
        <w:rPr>
          <w:iCs/>
          <w:i/>
        </w:rPr>
        <w:t xml:space="preserve">SD</w:t>
      </w:r>
      <w:r>
        <w:rPr>
          <w:vertAlign w:val="subscript"/>
          <w:iCs/>
          <w:i/>
        </w:rPr>
        <w:t xml:space="preserve">a</w:t>
      </w:r>
      <w:r>
        <w:t xml:space="preserve">/</w:t>
      </w:r>
      <w:r>
        <w:rPr>
          <w:iCs/>
          <w:i/>
        </w:rPr>
        <w:t xml:space="preserve">rd</w:t>
      </w:r>
      <w:r>
        <w:t xml:space="preserve">). For each outcome measure, we ran two separate models: One comparing the standard condition with the enhanced condition, and one comparing the standard condition with the degraded condition. In both models, condition was dummy-coded using the standard condition as the reference group.</w:t>
      </w:r>
    </w:p>
    <w:bookmarkEnd w:id="38"/>
    <w:bookmarkStart w:id="39" w:name="efa"/>
    <w:p>
      <w:pPr>
        <w:pStyle w:val="Heading3"/>
      </w:pPr>
      <w:r>
        <w:t xml:space="preserve">Factor structure of unpredictability</w:t>
      </w:r>
    </w:p>
    <w:p>
      <w:pPr>
        <w:pStyle w:val="FirstParagraph"/>
      </w:pPr>
      <w:r>
        <w:t xml:space="preserve">The included unpredictability measures contain items that vary in timescale, ranging from features of the childhood environment that might have been unpredictable on a daily basis (e.g.,</w:t>
      </w:r>
      <w:r>
        <w:t xml:space="preserve"> </w:t>
      </w:r>
      <w:r>
        <w:t xml:space="preserve">“</w:t>
      </w:r>
      <w:r>
        <w:t xml:space="preserve">things were often chaotic in my house</w:t>
      </w:r>
      <w:r>
        <w:t xml:space="preserve">”</w:t>
      </w:r>
      <w:r>
        <w:t xml:space="preserve">) to sources of unpredictability that typically unfold on a timescale of weeks or months (e.g.,</w:t>
      </w:r>
      <w:r>
        <w:t xml:space="preserve"> </w:t>
      </w:r>
      <w:r>
        <w:t xml:space="preserve">“</w:t>
      </w:r>
      <w:r>
        <w:t xml:space="preserve">At least one of my parents changed jobs frequently</w:t>
      </w:r>
      <w:r>
        <w:t xml:space="preserve">”</w:t>
      </w:r>
      <w:r>
        <w:t xml:space="preserve">). Since attention is involved in information processing on a timescale of seconds to minutes, we expect that attention styles should be more strongly related to sources of unpredictability that unfold on a similar timescale. However, it is unclear whether current retrospective measures of unpredictability are able to differentiate between different timescales. In addition, it might be the case that items of unpredictability on a longer timescale are good proxies for unpredictability on a a more daily timescale. We conducted an exploratory factor analysis (EFA) to address these issues.</w:t>
      </w:r>
    </w:p>
    <w:p>
      <w:pPr>
        <w:pStyle w:val="BodyText"/>
      </w:pPr>
      <w:r>
        <w:t xml:space="preserve">EFA was used to find common latent factors underlying the unpredictability/household chaos measures: perceived unpredictability, QUIC, and CHAOS, stability of the family and social environment, and the objective measures of unpredictability. The number of factors to retain was based on parallel analysis, with the added requirement that each factor was composed of at least five items that had their strongest loading on that particular factor. Factor loadings above 0.32 were considered meaningful (Tabachnick &amp; Fidell, 2014). We anticipated the factors to be correlated substantially, and therefore planned to use oblimin rotation.</w:t>
      </w:r>
    </w:p>
    <w:p>
      <w:r>
        <w:br w:type="page"/>
      </w:r>
    </w:p>
    <w:bookmarkEnd w:id="39"/>
    <w:bookmarkEnd w:id="40"/>
    <w:bookmarkEnd w:id="41"/>
    <w:bookmarkStart w:id="90" w:name="refs"/>
    <w:p>
      <w:pPr>
        <w:pStyle w:val="Heading1"/>
      </w:pPr>
      <w:r>
        <w:t xml:space="preserve">References</w:t>
      </w:r>
    </w:p>
    <w:bookmarkStart w:id="89" w:name="refs"/>
    <w:bookmarkStart w:id="43" w:name="ref-debruine_2021"/>
    <w:p>
      <w:pPr>
        <w:pStyle w:val="Bibliography"/>
      </w:pPr>
      <w:r>
        <w:t xml:space="preserve">DeBruine, L. (2021).</w:t>
      </w:r>
      <w:r>
        <w:t xml:space="preserve"> </w:t>
      </w:r>
      <w:r>
        <w:rPr>
          <w:iCs/>
          <w:i/>
        </w:rPr>
        <w:t xml:space="preserve">Faux:</w:t>
      </w:r>
      <w:r>
        <w:rPr>
          <w:iCs/>
          <w:i/>
        </w:rPr>
        <w:t xml:space="preserve"> </w:t>
      </w:r>
      <w:r>
        <w:rPr>
          <w:iCs/>
          <w:i/>
        </w:rPr>
        <w:t xml:space="preserve">Simulation</w:t>
      </w:r>
      <w:r>
        <w:rPr>
          <w:iCs/>
          <w:i/>
        </w:rPr>
        <w:t xml:space="preserve"> </w:t>
      </w:r>
      <w:r>
        <w:rPr>
          <w:iCs/>
          <w:i/>
        </w:rPr>
        <w:t xml:space="preserve">for factorial designs</w:t>
      </w:r>
      <w:r>
        <w:t xml:space="preserve">. Zenodo.</w:t>
      </w:r>
      <w:r>
        <w:t xml:space="preserve"> </w:t>
      </w:r>
      <w:hyperlink r:id="rId42">
        <w:r>
          <w:rPr>
            <w:rStyle w:val="Hyperlink"/>
          </w:rPr>
          <w:t xml:space="preserve">https://doi.org/10.5281/zenodo.5513951</w:t>
        </w:r>
      </w:hyperlink>
    </w:p>
    <w:bookmarkEnd w:id="43"/>
    <w:bookmarkStart w:id="45" w:name="ref-giudice_2018"/>
    <w:p>
      <w:pPr>
        <w:pStyle w:val="Bibliography"/>
      </w:pPr>
      <w:r>
        <w:t xml:space="preserve">Del Giudice, M., &amp; Crespi, B. J. (2018). Basic functional trade-offs in cognition:</w:t>
      </w:r>
      <w:r>
        <w:t xml:space="preserve"> </w:t>
      </w:r>
      <w:r>
        <w:t xml:space="preserve">An</w:t>
      </w:r>
      <w:r>
        <w:t xml:space="preserve"> </w:t>
      </w:r>
      <w:r>
        <w:t xml:space="preserve">integrative framework.</w:t>
      </w:r>
      <w:r>
        <w:t xml:space="preserve"> </w:t>
      </w:r>
      <w:r>
        <w:rPr>
          <w:iCs/>
          <w:i/>
        </w:rPr>
        <w:t xml:space="preserve">Cognition</w:t>
      </w:r>
      <w:r>
        <w:t xml:space="preserve">,</w:t>
      </w:r>
      <w:r>
        <w:t xml:space="preserve"> </w:t>
      </w:r>
      <w:r>
        <w:rPr>
          <w:iCs/>
          <w:i/>
        </w:rPr>
        <w:t xml:space="preserve">179</w:t>
      </w:r>
      <w:r>
        <w:t xml:space="preserve">, 56–70.</w:t>
      </w:r>
      <w:r>
        <w:t xml:space="preserve"> </w:t>
      </w:r>
      <w:hyperlink r:id="rId44">
        <w:r>
          <w:rPr>
            <w:rStyle w:val="Hyperlink"/>
          </w:rPr>
          <w:t xml:space="preserve">https://doi.org/10.1016/j.cognition.2018.06.008</w:t>
        </w:r>
      </w:hyperlink>
    </w:p>
    <w:bookmarkEnd w:id="45"/>
    <w:bookmarkStart w:id="47" w:name="ref-eriksen_1974"/>
    <w:p>
      <w:pPr>
        <w:pStyle w:val="Bibliography"/>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 https://doi.org/</w:t>
      </w:r>
      <w:hyperlink r:id="rId46">
        <w:r>
          <w:rPr>
            <w:rStyle w:val="Hyperlink"/>
          </w:rPr>
          <w:t xml:space="preserve">https://doi.org/10.3758/BF03203267</w:t>
        </w:r>
      </w:hyperlink>
    </w:p>
    <w:bookmarkEnd w:id="47"/>
    <w:bookmarkStart w:id="49"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8">
        <w:r>
          <w:rPr>
            <w:rStyle w:val="Hyperlink"/>
          </w:rPr>
          <w:t xml:space="preserve">https://doi.org/10.1525/collabra.127</w:t>
        </w:r>
      </w:hyperlink>
    </w:p>
    <w:bookmarkEnd w:id="49"/>
    <w:bookmarkStart w:id="51"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50">
        <w:r>
          <w:rPr>
            <w:rStyle w:val="Hyperlink"/>
          </w:rPr>
          <w:t xml:space="preserve">https://doi.org/10.1111/desc.12835</w:t>
        </w:r>
      </w:hyperlink>
    </w:p>
    <w:bookmarkEnd w:id="51"/>
    <w:bookmarkStart w:id="53" w:name="ref-glynn_2019"/>
    <w:p>
      <w:pPr>
        <w:pStyle w:val="Bibliography"/>
      </w:pPr>
      <w:r>
        <w:t xml:space="preserve">Glynn, L. M., Stern, H. S., Howland, M. A., Risbrough, V. B., Baker, D. G., Nievergelt, C. M., Baram, T. Z., &amp; Davis, E. P. (2019). Measuring novel antecedents of mental illness: The</w:t>
      </w:r>
      <w:r>
        <w:t xml:space="preserve"> </w:t>
      </w:r>
      <w:r>
        <w:t xml:space="preserve">Questionnaire</w:t>
      </w:r>
      <w:r>
        <w:t xml:space="preserve"> </w:t>
      </w:r>
      <w:r>
        <w:t xml:space="preserve">of</w:t>
      </w:r>
      <w:r>
        <w:t xml:space="preserve"> </w:t>
      </w:r>
      <w:r>
        <w:t xml:space="preserve">Unpredictability</w:t>
      </w:r>
      <w:r>
        <w:t xml:space="preserve"> </w:t>
      </w:r>
      <w:r>
        <w:t xml:space="preserve">in</w:t>
      </w:r>
      <w:r>
        <w:t xml:space="preserve"> </w:t>
      </w:r>
      <w:r>
        <w:t xml:space="preserve">Childhood</w:t>
      </w:r>
      <w:r>
        <w:t xml:space="preserve">.</w:t>
      </w:r>
      <w:r>
        <w:t xml:space="preserve"> </w:t>
      </w:r>
      <w:r>
        <w:rPr>
          <w:iCs/>
          <w:i/>
        </w:rPr>
        <w:t xml:space="preserve">Neuropsychopharmacology</w:t>
      </w:r>
      <w:r>
        <w:t xml:space="preserve">,</w:t>
      </w:r>
      <w:r>
        <w:t xml:space="preserve"> </w:t>
      </w:r>
      <w:r>
        <w:rPr>
          <w:iCs/>
          <w:i/>
        </w:rPr>
        <w:t xml:space="preserve">44</w:t>
      </w:r>
      <w:r>
        <w:t xml:space="preserve">(5), 876–882.</w:t>
      </w:r>
      <w:r>
        <w:t xml:space="preserve"> </w:t>
      </w:r>
      <w:hyperlink r:id="rId52">
        <w:r>
          <w:rPr>
            <w:rStyle w:val="Hyperlink"/>
          </w:rPr>
          <w:t xml:space="preserve">https://doi.org/10.1038/s41386-018-0280-9</w:t>
        </w:r>
      </w:hyperlink>
    </w:p>
    <w:bookmarkEnd w:id="53"/>
    <w:bookmarkStart w:id="55" w:name="ref-grange_2016"/>
    <w:p>
      <w:pPr>
        <w:pStyle w:val="Bibliography"/>
      </w:pPr>
      <w:r>
        <w:t xml:space="preserve">Grange, J. A. (2016). Flankr:</w:t>
      </w:r>
      <w:r>
        <w:t xml:space="preserve"> </w:t>
      </w:r>
      <w:r>
        <w:t xml:space="preserve">An</w:t>
      </w:r>
      <w:r>
        <w:t xml:space="preserve"> </w:t>
      </w:r>
      <w:r>
        <w:t xml:space="preserve">R</w:t>
      </w:r>
      <w:r>
        <w:t xml:space="preserve"> </w:t>
      </w:r>
      <w:r>
        <w:t xml:space="preserve">package implementing computational models of attentional selectivity.</w:t>
      </w:r>
      <w:r>
        <w:t xml:space="preserve"> </w:t>
      </w:r>
      <w:r>
        <w:rPr>
          <w:iCs/>
          <w:i/>
        </w:rPr>
        <w:t xml:space="preserve">Behavior Research Methods</w:t>
      </w:r>
      <w:r>
        <w:t xml:space="preserve">,</w:t>
      </w:r>
      <w:r>
        <w:t xml:space="preserve"> </w:t>
      </w:r>
      <w:r>
        <w:rPr>
          <w:iCs/>
          <w:i/>
        </w:rPr>
        <w:t xml:space="preserve">48</w:t>
      </w:r>
      <w:r>
        <w:t xml:space="preserve">(2), 528–541.</w:t>
      </w:r>
      <w:r>
        <w:t xml:space="preserve"> </w:t>
      </w:r>
      <w:hyperlink r:id="rId54">
        <w:r>
          <w:rPr>
            <w:rStyle w:val="Hyperlink"/>
          </w:rPr>
          <w:t xml:space="preserve">https://doi.org/10.3758/s13428-015-0615-y</w:t>
        </w:r>
      </w:hyperlink>
    </w:p>
    <w:bookmarkEnd w:id="55"/>
    <w:bookmarkStart w:id="57" w:name="ref-grange_2020"/>
    <w:p>
      <w:pPr>
        <w:pStyle w:val="Bibliography"/>
      </w:pPr>
      <w:r>
        <w:t xml:space="preserve">Grange, J. A., &amp; Rydon-Grange, M. (2020). Computational modelling of attentional selectivity in depression reveals perceptual deficits.</w:t>
      </w:r>
      <w:r>
        <w:t xml:space="preserve"> </w:t>
      </w:r>
      <w:r>
        <w:rPr>
          <w:iCs/>
          <w:i/>
        </w:rPr>
        <w:t xml:space="preserve">Psychological Medicine</w:t>
      </w:r>
      <w:r>
        <w:t xml:space="preserve">, 1–10.</w:t>
      </w:r>
      <w:r>
        <w:t xml:space="preserve"> </w:t>
      </w:r>
      <w:hyperlink r:id="rId56">
        <w:r>
          <w:rPr>
            <w:rStyle w:val="Hyperlink"/>
          </w:rPr>
          <w:t xml:space="preserve">https://doi.org/10.1017/S0033291720002652</w:t>
        </w:r>
      </w:hyperlink>
    </w:p>
    <w:bookmarkEnd w:id="57"/>
    <w:bookmarkStart w:id="59"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58">
        <w:r>
          <w:rPr>
            <w:rStyle w:val="Hyperlink"/>
          </w:rPr>
          <w:t xml:space="preserve">https://doi.org/10.3758/s13428-014-0458-y</w:t>
        </w:r>
      </w:hyperlink>
    </w:p>
    <w:bookmarkEnd w:id="59"/>
    <w:bookmarkStart w:id="61" w:name="ref-matheny_1995"/>
    <w:p>
      <w:pPr>
        <w:pStyle w:val="Bibliography"/>
      </w:pPr>
      <w:r>
        <w:t xml:space="preserve">Matheny, A. P., Wachs, T. D., Ludwig, J. L., &amp; Phillips, K. (1995). Bringing order out of chaos:</w:t>
      </w:r>
      <w:r>
        <w:t xml:space="preserve"> </w:t>
      </w:r>
      <w:r>
        <w:t xml:space="preserve">Psychometric</w:t>
      </w:r>
      <w:r>
        <w:t xml:space="preserve"> </w:t>
      </w:r>
      <w:r>
        <w:t xml:space="preserve">characteristics of the</w:t>
      </w:r>
      <w:r>
        <w:t xml:space="preserve"> </w:t>
      </w:r>
      <w:r>
        <w:t xml:space="preserve">Confusion</w:t>
      </w:r>
      <w:r>
        <w:t xml:space="preserve">,</w:t>
      </w:r>
      <w:r>
        <w:t xml:space="preserve"> </w:t>
      </w:r>
      <w:r>
        <w:t xml:space="preserve">Hubbub</w:t>
      </w:r>
      <w:r>
        <w:t xml:space="preserve">, and</w:t>
      </w:r>
      <w:r>
        <w:t xml:space="preserve"> </w:t>
      </w:r>
      <w:r>
        <w:t xml:space="preserve">Order</w:t>
      </w:r>
      <w:r>
        <w:t xml:space="preserve"> </w:t>
      </w:r>
      <w:r>
        <w:t xml:space="preserve">Scale</w:t>
      </w:r>
      <w:r>
        <w:t xml:space="preserve">.</w:t>
      </w:r>
      <w:r>
        <w:t xml:space="preserve"> </w:t>
      </w:r>
      <w:r>
        <w:rPr>
          <w:iCs/>
          <w:i/>
        </w:rPr>
        <w:t xml:space="preserve">Journal of Applied Developmental Psychology</w:t>
      </w:r>
      <w:r>
        <w:t xml:space="preserve">,</w:t>
      </w:r>
      <w:r>
        <w:t xml:space="preserve"> </w:t>
      </w:r>
      <w:r>
        <w:rPr>
          <w:iCs/>
          <w:i/>
        </w:rPr>
        <w:t xml:space="preserve">16</w:t>
      </w:r>
      <w:r>
        <w:t xml:space="preserve">(3), 429–444.</w:t>
      </w:r>
      <w:r>
        <w:t xml:space="preserve"> </w:t>
      </w:r>
      <w:hyperlink r:id="rId60">
        <w:r>
          <w:rPr>
            <w:rStyle w:val="Hyperlink"/>
          </w:rPr>
          <w:t xml:space="preserve">https://doi.org/10.1016/0193-3973(95)90028-4</w:t>
        </w:r>
      </w:hyperlink>
    </w:p>
    <w:bookmarkEnd w:id="61"/>
    <w:bookmarkStart w:id="63"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62">
        <w:r>
          <w:rPr>
            <w:rStyle w:val="Hyperlink"/>
          </w:rPr>
          <w:t xml:space="preserve">https://doi.org/10.1037/pspi0000028</w:t>
        </w:r>
      </w:hyperlink>
    </w:p>
    <w:bookmarkEnd w:id="63"/>
    <w:bookmarkStart w:id="65" w:name="ref-nivison_2021"/>
    <w:p>
      <w:pPr>
        <w:pStyle w:val="Bibliography"/>
      </w:pPr>
      <w:r>
        <w:t xml:space="preserve">Nivison, M. D., Vandell, D. L., Booth-LaForce, C., &amp; Roisman, G. I. (2021). Convergent and discriminant validity of retrospective assessments of the quality of childhood parenting:</w:t>
      </w:r>
      <w:r>
        <w:t xml:space="preserve"> </w:t>
      </w:r>
      <w:r>
        <w:t xml:space="preserve">Prospective</w:t>
      </w:r>
      <w:r>
        <w:t xml:space="preserve"> </w:t>
      </w:r>
      <w:r>
        <w:t xml:space="preserve">evidence from infancy to age 26 years.</w:t>
      </w:r>
      <w:r>
        <w:t xml:space="preserve"> </w:t>
      </w:r>
      <w:r>
        <w:rPr>
          <w:iCs/>
          <w:i/>
        </w:rPr>
        <w:t xml:space="preserve">Psychological Science</w:t>
      </w:r>
      <w:r>
        <w:t xml:space="preserve">,</w:t>
      </w:r>
      <w:r>
        <w:t xml:space="preserve"> </w:t>
      </w:r>
      <w:r>
        <w:rPr>
          <w:iCs/>
          <w:i/>
        </w:rPr>
        <w:t xml:space="preserve">32</w:t>
      </w:r>
      <w:r>
        <w:t xml:space="preserve">(5), 721–734. https://doi.org/</w:t>
      </w:r>
      <w:hyperlink r:id="rId64">
        <w:r>
          <w:rPr>
            <w:rStyle w:val="Hyperlink"/>
          </w:rPr>
          <w:t xml:space="preserve">https://doi.org/10.1177/0956797620975775</w:t>
        </w:r>
      </w:hyperlink>
    </w:p>
    <w:bookmarkEnd w:id="65"/>
    <w:bookmarkStart w:id="67" w:name="ref-patton_1995"/>
    <w:p>
      <w:pPr>
        <w:pStyle w:val="Bibliography"/>
      </w:pPr>
      <w:r>
        <w:t xml:space="preserve">Patton, J. H., Stanford, M. S., &amp; Barratt, E. S. (1995). Factor structure of the</w:t>
      </w:r>
      <w:r>
        <w:t xml:space="preserve"> </w:t>
      </w:r>
      <w:r>
        <w:t xml:space="preserve">Barratt</w:t>
      </w:r>
      <w:r>
        <w:t xml:space="preserve"> </w:t>
      </w:r>
      <w:r>
        <w:t xml:space="preserve">impulsiveness scale.</w:t>
      </w:r>
      <w:r>
        <w:t xml:space="preserve"> </w:t>
      </w:r>
      <w:r>
        <w:rPr>
          <w:iCs/>
          <w:i/>
        </w:rPr>
        <w:t xml:space="preserve">Journal of Clinical Psychology</w:t>
      </w:r>
      <w:r>
        <w:t xml:space="preserve">,</w:t>
      </w:r>
      <w:r>
        <w:t xml:space="preserve"> </w:t>
      </w:r>
      <w:r>
        <w:rPr>
          <w:iCs/>
          <w:i/>
        </w:rPr>
        <w:t xml:space="preserve">51</w:t>
      </w:r>
      <w:r>
        <w:t xml:space="preserve">(6), 768–774.</w:t>
      </w:r>
      <w:r>
        <w:t xml:space="preserve"> </w:t>
      </w:r>
      <w:hyperlink r:id="rId66">
        <w:r>
          <w:rPr>
            <w:rStyle w:val="Hyperlink"/>
          </w:rPr>
          <w:t xml:space="preserve">https://doi.org/10.1002/1097-4679(199511)51:6%3C768::AID-JCLP2270510607%3E3.0.CO;2-1</w:t>
        </w:r>
      </w:hyperlink>
    </w:p>
    <w:bookmarkEnd w:id="67"/>
    <w:bookmarkStart w:id="69" w:name="ref-radloff_1977"/>
    <w:p>
      <w:pPr>
        <w:pStyle w:val="Bibliography"/>
      </w:pPr>
      <w:r>
        <w:t xml:space="preserve">Radloff, L. S. (1977). The</w:t>
      </w:r>
      <w:r>
        <w:t xml:space="preserve"> </w:t>
      </w:r>
      <w:r>
        <w:t xml:space="preserve">CES</w:t>
      </w:r>
      <w:r>
        <w:t xml:space="preserve">-</w:t>
      </w:r>
      <w:r>
        <w:t xml:space="preserve">D</w:t>
      </w:r>
      <w:r>
        <w:t xml:space="preserve"> </w:t>
      </w:r>
      <w:r>
        <w:t xml:space="preserve">scale:</w:t>
      </w:r>
      <w:r>
        <w:t xml:space="preserve"> </w:t>
      </w:r>
      <w:r>
        <w:t xml:space="preserve">A</w:t>
      </w:r>
      <w:r>
        <w:t xml:space="preserve"> </w:t>
      </w:r>
      <w:r>
        <w:t xml:space="preserve">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 https://doi.org/</w:t>
      </w:r>
      <w:hyperlink r:id="rId68">
        <w:r>
          <w:rPr>
            <w:rStyle w:val="Hyperlink"/>
          </w:rPr>
          <w:t xml:space="preserve">https://doi.org/10.1177/014662167700100306</w:t>
        </w:r>
      </w:hyperlink>
    </w:p>
    <w:bookmarkEnd w:id="69"/>
    <w:bookmarkStart w:id="71" w:name="ref-ratcliff_2015"/>
    <w:p>
      <w:pPr>
        <w:pStyle w:val="Bibliography"/>
      </w:pPr>
      <w:r>
        <w:t xml:space="preserve">Ratcliff, R., &amp; Childers, R. (2015). Individual differences and fitting methods for the two-choice diffusion model of decision making.</w:t>
      </w:r>
      <w:r>
        <w:t xml:space="preserve"> </w:t>
      </w:r>
      <w:r>
        <w:rPr>
          <w:iCs/>
          <w:i/>
        </w:rPr>
        <w:t xml:space="preserve">Decision</w:t>
      </w:r>
      <w:r>
        <w:t xml:space="preserve">,</w:t>
      </w:r>
      <w:r>
        <w:t xml:space="preserve"> </w:t>
      </w:r>
      <w:r>
        <w:rPr>
          <w:iCs/>
          <w:i/>
        </w:rPr>
        <w:t xml:space="preserve">2</w:t>
      </w:r>
      <w:r>
        <w:t xml:space="preserve">(4), 237–279. https://doi.org/</w:t>
      </w:r>
      <w:hyperlink r:id="rId70">
        <w:r>
          <w:rPr>
            <w:rStyle w:val="Hyperlink"/>
          </w:rPr>
          <w:t xml:space="preserve">https://doi.org/10.1037/dec0000030</w:t>
        </w:r>
      </w:hyperlink>
    </w:p>
    <w:bookmarkEnd w:id="71"/>
    <w:bookmarkStart w:id="73" w:name="ref-salthouse_2010"/>
    <w:p>
      <w:pPr>
        <w:pStyle w:val="Bibliography"/>
      </w:pPr>
      <w:r>
        <w:t xml:space="preserve">Salthouse, T. A. (2010). Selective review of cognitive aging.</w:t>
      </w:r>
      <w:r>
        <w:t xml:space="preserve"> </w:t>
      </w:r>
      <w:r>
        <w:rPr>
          <w:iCs/>
          <w:i/>
        </w:rPr>
        <w:t xml:space="preserve">Journal of the International Neuropsychological Society</w:t>
      </w:r>
      <w:r>
        <w:t xml:space="preserve">,</w:t>
      </w:r>
      <w:r>
        <w:t xml:space="preserve"> </w:t>
      </w:r>
      <w:r>
        <w:rPr>
          <w:iCs/>
          <w:i/>
        </w:rPr>
        <w:t xml:space="preserve">16</w:t>
      </w:r>
      <w:r>
        <w:t xml:space="preserve">(5), 754–760.</w:t>
      </w:r>
      <w:r>
        <w:t xml:space="preserve"> </w:t>
      </w:r>
      <w:hyperlink r:id="rId72">
        <w:r>
          <w:rPr>
            <w:rStyle w:val="Hyperlink"/>
          </w:rPr>
          <w:t xml:space="preserve">https://doi.org/10.1017/S1355617710000706</w:t>
        </w:r>
      </w:hyperlink>
    </w:p>
    <w:bookmarkEnd w:id="73"/>
    <w:bookmarkStart w:id="75" w:name="ref-simonsohn_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74">
        <w:r>
          <w:rPr>
            <w:rStyle w:val="Hyperlink"/>
          </w:rPr>
          <w:t xml:space="preserve">https://doi.org/10.1038/s41562-020-0912-z</w:t>
        </w:r>
      </w:hyperlink>
    </w:p>
    <w:bookmarkEnd w:id="75"/>
    <w:bookmarkStart w:id="76" w:name="ref-spielberger_1999"/>
    <w:p>
      <w:pPr>
        <w:pStyle w:val="Bibliography"/>
      </w:pPr>
      <w:r>
        <w:t xml:space="preserve">Spielberger, C. D., Sydeman, S. J., Owen, A. E., &amp; Marsh, B. J. (1999). Measuring anxiety and anger with the</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 </w:t>
      </w:r>
      <w:r>
        <w:t xml:space="preserve">(</w:t>
      </w:r>
      <w:r>
        <w:t xml:space="preserve">STAI</w:t>
      </w:r>
      <w:r>
        <w:t xml:space="preserve">) and the</w:t>
      </w:r>
      <w:r>
        <w:t xml:space="preserve"> </w:t>
      </w:r>
      <w:r>
        <w:t xml:space="preserve">State</w:t>
      </w:r>
      <w:r>
        <w:t xml:space="preserve">-</w:t>
      </w:r>
      <w:r>
        <w:t xml:space="preserve">Trait</w:t>
      </w:r>
      <w:r>
        <w:t xml:space="preserve"> </w:t>
      </w:r>
      <w:r>
        <w:t xml:space="preserve">Anger</w:t>
      </w:r>
      <w:r>
        <w:t xml:space="preserve"> </w:t>
      </w:r>
      <w:r>
        <w:t xml:space="preserve">Expression</w:t>
      </w:r>
      <w:r>
        <w:t xml:space="preserve"> </w:t>
      </w:r>
      <w:r>
        <w:t xml:space="preserve">Inventory</w:t>
      </w:r>
      <w:r>
        <w:t xml:space="preserve"> </w:t>
      </w:r>
      <w:r>
        <w:t xml:space="preserve">(</w:t>
      </w:r>
      <w:r>
        <w:t xml:space="preserve">STAXI</w:t>
      </w:r>
      <w:r>
        <w:t xml:space="preserve">). In M. E. Maruish (Ed.),</w:t>
      </w:r>
      <w:r>
        <w:t xml:space="preserve"> </w:t>
      </w:r>
      <w:r>
        <w:rPr>
          <w:iCs/>
          <w:i/>
        </w:rPr>
        <w:t xml:space="preserve">The use of psychological testing for treatment planning and outcomes assessment</w:t>
      </w:r>
      <w:r>
        <w:t xml:space="preserve"> </w:t>
      </w:r>
      <w:r>
        <w:t xml:space="preserve">(pp. 993–1021). Lawrence Erlbaum Associates Publishers.</w:t>
      </w:r>
    </w:p>
    <w:bookmarkEnd w:id="76"/>
    <w:bookmarkStart w:id="78" w:name="ref-spinella_2007"/>
    <w:p>
      <w:pPr>
        <w:pStyle w:val="Bibliography"/>
      </w:pPr>
      <w:r>
        <w:t xml:space="preserve">Spinella, M. (2007). Normative data and a short form of the</w:t>
      </w:r>
      <w:r>
        <w:t xml:space="preserve"> </w:t>
      </w:r>
      <w:r>
        <w:t xml:space="preserve">Barratt</w:t>
      </w:r>
      <w:r>
        <w:t xml:space="preserve"> </w:t>
      </w:r>
      <w:r>
        <w:t xml:space="preserve">Impulsiveness</w:t>
      </w:r>
      <w:r>
        <w:t xml:space="preserve"> </w:t>
      </w:r>
      <w:r>
        <w:t xml:space="preserve">Scale</w:t>
      </w:r>
      <w:r>
        <w:t xml:space="preserve">.</w:t>
      </w:r>
      <w:r>
        <w:t xml:space="preserve"> </w:t>
      </w:r>
      <w:r>
        <w:rPr>
          <w:iCs/>
          <w:i/>
        </w:rPr>
        <w:t xml:space="preserve">International Journal of Neuroscience</w:t>
      </w:r>
      <w:r>
        <w:t xml:space="preserve">,</w:t>
      </w:r>
      <w:r>
        <w:t xml:space="preserve"> </w:t>
      </w:r>
      <w:r>
        <w:rPr>
          <w:iCs/>
          <w:i/>
        </w:rPr>
        <w:t xml:space="preserve">117</w:t>
      </w:r>
      <w:r>
        <w:t xml:space="preserve">(3), 359–368.</w:t>
      </w:r>
      <w:r>
        <w:t xml:space="preserve"> </w:t>
      </w:r>
      <w:hyperlink r:id="rId77">
        <w:r>
          <w:rPr>
            <w:rStyle w:val="Hyperlink"/>
          </w:rPr>
          <w:t xml:space="preserve">https://doi.org/10.1080/00207450600588881</w:t>
        </w:r>
      </w:hyperlink>
    </w:p>
    <w:bookmarkEnd w:id="78"/>
    <w:bookmarkStart w:id="80" w:name="ref-steinberg_2009"/>
    <w:p>
      <w:pPr>
        <w:pStyle w:val="Bibliography"/>
      </w:pPr>
      <w:r>
        <w:t xml:space="preserve">Steinberg, L., Graham, S., O’Brien, L., Woolard, J., Cauffman, E., &amp; Banich, M. (2009). Age differences in future orientation and delay discounting.</w:t>
      </w:r>
      <w:r>
        <w:t xml:space="preserve"> </w:t>
      </w:r>
      <w:r>
        <w:rPr>
          <w:iCs/>
          <w:i/>
        </w:rPr>
        <w:t xml:space="preserve">Child Development</w:t>
      </w:r>
      <w:r>
        <w:t xml:space="preserve">,</w:t>
      </w:r>
      <w:r>
        <w:t xml:space="preserve"> </w:t>
      </w:r>
      <w:r>
        <w:rPr>
          <w:iCs/>
          <w:i/>
        </w:rPr>
        <w:t xml:space="preserve">80</w:t>
      </w:r>
      <w:r>
        <w:t xml:space="preserve">(1), 28–44. https://doi.org/</w:t>
      </w:r>
      <w:hyperlink r:id="rId79">
        <w:r>
          <w:rPr>
            <w:rStyle w:val="Hyperlink"/>
          </w:rPr>
          <w:t xml:space="preserve">https://doi.org/10.1111/j.1467-8624.2008.01244.x</w:t>
        </w:r>
      </w:hyperlink>
    </w:p>
    <w:bookmarkEnd w:id="80"/>
    <w:bookmarkStart w:id="82" w:name="ref-white_2018b"/>
    <w:p>
      <w:pPr>
        <w:pStyle w:val="Bibliography"/>
      </w:pPr>
      <w:r>
        <w:t xml:space="preserve">White, C. N., &amp; Curl, R. (2018). Cueing effects in the</w:t>
      </w:r>
      <w:r>
        <w:t xml:space="preserve"> </w:t>
      </w:r>
      <w:r>
        <w:t xml:space="preserve">Attentional</w:t>
      </w:r>
      <w:r>
        <w:t xml:space="preserve"> </w:t>
      </w:r>
      <w:r>
        <w:t xml:space="preserve">Network</w:t>
      </w:r>
      <w:r>
        <w:t xml:space="preserve"> </w:t>
      </w:r>
      <w:r>
        <w:t xml:space="preserve">Test</w:t>
      </w:r>
      <w:r>
        <w:t xml:space="preserve">: A</w:t>
      </w:r>
      <w:r>
        <w:t xml:space="preserve"> </w:t>
      </w:r>
      <w:r>
        <w:t xml:space="preserve">Spotlight</w:t>
      </w:r>
      <w:r>
        <w:t xml:space="preserve"> </w:t>
      </w:r>
      <w:r>
        <w:t xml:space="preserve">Diffusion</w:t>
      </w:r>
      <w:r>
        <w:t xml:space="preserve"> </w:t>
      </w:r>
      <w:r>
        <w:t xml:space="preserve">Model</w:t>
      </w:r>
      <w:r>
        <w:t xml:space="preserve"> </w:t>
      </w:r>
      <w:r>
        <w:t xml:space="preserve">analysis.</w:t>
      </w:r>
      <w:r>
        <w:t xml:space="preserve"> </w:t>
      </w:r>
      <w:r>
        <w:rPr>
          <w:iCs/>
          <w:i/>
        </w:rPr>
        <w:t xml:space="preserve">Computational Brain &amp; Behavior</w:t>
      </w:r>
      <w:r>
        <w:t xml:space="preserve">,</w:t>
      </w:r>
      <w:r>
        <w:t xml:space="preserve"> </w:t>
      </w:r>
      <w:r>
        <w:rPr>
          <w:iCs/>
          <w:i/>
        </w:rPr>
        <w:t xml:space="preserve">1</w:t>
      </w:r>
      <w:r>
        <w:t xml:space="preserve">(1), 59–68.</w:t>
      </w:r>
      <w:r>
        <w:t xml:space="preserve"> </w:t>
      </w:r>
      <w:hyperlink r:id="rId81">
        <w:r>
          <w:rPr>
            <w:rStyle w:val="Hyperlink"/>
          </w:rPr>
          <w:t xml:space="preserve">https://doi.org/10.1007/s42113-018-0004-6</w:t>
        </w:r>
      </w:hyperlink>
    </w:p>
    <w:bookmarkEnd w:id="82"/>
    <w:bookmarkStart w:id="84" w:name="ref-white_2011"/>
    <w:p>
      <w:pPr>
        <w:pStyle w:val="Bibliography"/>
      </w:pPr>
      <w:r>
        <w:t xml:space="preserve">White, C. N., Ratcliff, R., &amp; Starns, J. J. (2011). Diffusion models of the flanker task:</w:t>
      </w:r>
      <w:r>
        <w:t xml:space="preserve"> </w:t>
      </w:r>
      <w:r>
        <w:t xml:space="preserve">Discrete</w:t>
      </w:r>
      <w:r>
        <w:t xml:space="preserve"> </w:t>
      </w:r>
      <w:r>
        <w:t xml:space="preserve">versus gradual attentional selection.</w:t>
      </w:r>
      <w:r>
        <w:t xml:space="preserve"> </w:t>
      </w:r>
      <w:r>
        <w:rPr>
          <w:iCs/>
          <w:i/>
        </w:rPr>
        <w:t xml:space="preserve">Cognitive Psychology</w:t>
      </w:r>
      <w:r>
        <w:t xml:space="preserve">,</w:t>
      </w:r>
      <w:r>
        <w:t xml:space="preserve"> </w:t>
      </w:r>
      <w:r>
        <w:rPr>
          <w:iCs/>
          <w:i/>
        </w:rPr>
        <w:t xml:space="preserve">63</w:t>
      </w:r>
      <w:r>
        <w:t xml:space="preserve">(4), 210–238.</w:t>
      </w:r>
      <w:r>
        <w:t xml:space="preserve"> </w:t>
      </w:r>
      <w:hyperlink r:id="rId83">
        <w:r>
          <w:rPr>
            <w:rStyle w:val="Hyperlink"/>
          </w:rPr>
          <w:t xml:space="preserve">https://doi.org/10.1016/j.cogpsych.2011.08.001</w:t>
        </w:r>
      </w:hyperlink>
    </w:p>
    <w:bookmarkEnd w:id="84"/>
    <w:bookmarkStart w:id="86" w:name="ref-white_2018a"/>
    <w:p>
      <w:pPr>
        <w:pStyle w:val="Bibliography"/>
      </w:pPr>
      <w:r>
        <w:t xml:space="preserve">White, C. N., Servant, M., &amp; Logan, G. D. (2018). Testing the validity of conflict drift-diffusion models for use in estimating cognitive processes:</w:t>
      </w:r>
      <w:r>
        <w:t xml:space="preserve"> </w:t>
      </w:r>
      <w:r>
        <w:t xml:space="preserve">A</w:t>
      </w:r>
      <w:r>
        <w:t xml:space="preserve"> </w:t>
      </w:r>
      <w:r>
        <w:t xml:space="preserve">parameter-recovery study.</w:t>
      </w:r>
      <w:r>
        <w:t xml:space="preserve"> </w:t>
      </w:r>
      <w:r>
        <w:rPr>
          <w:iCs/>
          <w:i/>
        </w:rPr>
        <w:t xml:space="preserve">Psychonomic Bulletin &amp; Review</w:t>
      </w:r>
      <w:r>
        <w:t xml:space="preserve">,</w:t>
      </w:r>
      <w:r>
        <w:t xml:space="preserve"> </w:t>
      </w:r>
      <w:r>
        <w:rPr>
          <w:iCs/>
          <w:i/>
        </w:rPr>
        <w:t xml:space="preserve">25</w:t>
      </w:r>
      <w:r>
        <w:t xml:space="preserve">(1), 286–301.</w:t>
      </w:r>
      <w:r>
        <w:t xml:space="preserve"> </w:t>
      </w:r>
      <w:hyperlink r:id="rId85">
        <w:r>
          <w:rPr>
            <w:rStyle w:val="Hyperlink"/>
          </w:rPr>
          <w:t xml:space="preserve">https://doi.org/10.3758/s13423-017-1271-2</w:t>
        </w:r>
      </w:hyperlink>
    </w:p>
    <w:bookmarkEnd w:id="86"/>
    <w:bookmarkStart w:id="88"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 https://doi.org/</w:t>
      </w:r>
      <w:hyperlink r:id="rId87">
        <w:r>
          <w:rPr>
            <w:rStyle w:val="Hyperlink"/>
          </w:rPr>
          <w:t xml:space="preserve">https://doi.org/10.1037/pspi0000124</w:t>
        </w:r>
      </w:hyperlink>
    </w:p>
    <w:bookmarkEnd w:id="88"/>
    <w:bookmarkEnd w:id="89"/>
    <w:p>
      <w:r>
        <w:br w:type="page"/>
      </w:r>
    </w:p>
    <w:bookmarkEnd w:id="90"/>
    <w:bookmarkStart w:id="91" w:name="appendix"/>
    <w:p>
      <w:pPr>
        <w:pStyle w:val="Heading1"/>
      </w:pPr>
      <w:r>
        <w:t xml:space="preserve">Appendix</w:t>
      </w:r>
    </w:p>
    <w:p>
      <w:pPr>
        <w:pStyle w:val="FirstParagraph"/>
      </w:pPr>
      <w:r>
        <w:t xml:space="preserve">Go back to</w:t>
      </w:r>
      <w:r>
        <w:t xml:space="preserve"> </w:t>
      </w:r>
      <w:hyperlink w:anchor="state">
        <w:r>
          <w:rPr>
            <w:rStyle w:val="Hyperlink"/>
          </w:rPr>
          <w:t xml:space="preserve">Methods</w:t>
        </w:r>
      </w:hyperlink>
    </w:p>
    <w:p>
      <w:pPr>
        <w:pStyle w:val="TableCaption"/>
      </w:pPr>
      <w:r>
        <w:rPr>
          <w:rFonts/>
          <w:b w:val="true"/>
        </w:rPr>
        <w:t xml:space="preserve">Table </w:t>
      </w:r>
      <w:bookmarkStart w:id="68e56c89-9103-4489-9b9a-a991df6d66d6" w:name="tableS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e56c89-9103-4489-9b9a-a991df6d66d6"/>
      <w: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rFonts/>
          <w:b w:val="true"/>
        </w:rPr>
        <w:t xml:space="preserve">Table </w:t>
      </w:r>
      <w:bookmarkStart w:id="41ad4a92-2ee4-4c0a-8dbc-e15b372ea406" w:name="tableS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1ad4a92-2ee4-4c0a-8dbc-e15b372ea406"/>
      <w: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rFonts/>
          <w:b w:val="true"/>
        </w:rPr>
        <w:t xml:space="preserve">Table </w:t>
      </w:r>
      <w:bookmarkStart w:id="6021d4b3-8a3a-4d31-8810-ea38b1bf3873" w:name="tableS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21d4b3-8a3a-4d31-8810-ea38b1bf3873"/>
      <w: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caregiver(s)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rFonts/>
          <w:b w:val="true"/>
        </w:rPr>
        <w:t xml:space="preserve">Table </w:t>
      </w:r>
      <w:bookmarkStart w:id="45847d7e-0f90-4a77-931c-7a1944b9208f" w:name="table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847d7e-0f90-4a77-931c-7a1944b9208f"/>
      <w: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caregivers tucked me in, my caregivers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caregivers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caregiver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were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caregivers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caregivers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caregivers,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long periods of time when I didn’t see one of my caregivers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changed jobs.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homes.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rFonts/>
          <w:b w:val="true"/>
        </w:rPr>
        <w:t xml:space="preserve">Table </w:t>
      </w:r>
      <w:bookmarkStart w:id="6d9fc76e-4279-4f1b-86c4-036814c90bb6" w:name="table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9fc76e-4279-4f1b-86c4-036814c90bb6"/>
      <w: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rFonts/>
          <w:b w:val="true"/>
        </w:rPr>
        <w:t xml:space="preserve">Table </w:t>
      </w:r>
      <w:bookmarkStart w:id="b3b12e37-0013-448f-baeb-4828f81ae307" w:name="table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b12e37-0013-448f-baeb-4828f81ae307"/>
      <w: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rFonts/>
          <w:b w:val="true"/>
        </w:rPr>
        <w:t xml:space="preserve">Table </w:t>
      </w:r>
      <w:bookmarkStart w:id="8858edeb-9b95-47e6-a4ab-f4be2dad799e" w:name="tableS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58edeb-9b95-47e6-a4ab-f4be2dad799e"/>
      <w: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rFonts/>
          <w:b w:val="true"/>
        </w:rPr>
        <w:t xml:space="preserve">Table </w:t>
      </w:r>
      <w:bookmarkStart w:id="53dc4e97-5cb6-456b-8a0c-c2a72244abf9" w:name="tableS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3dc4e97-5cb6-456b-8a0c-c2a72244abf9"/>
      <w: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rFonts/>
          <w:b w:val="true"/>
        </w:rPr>
        <w:t xml:space="preserve">Table </w:t>
      </w:r>
      <w:bookmarkStart w:id="9c3f0411-c38f-404c-a078-95a765b85e5b" w:name="tableS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3f0411-c38f-404c-a078-95a765b85e5b"/>
      <w: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bookmarkEnd w:id="91"/>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3E47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7D0338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DF46C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84B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276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D226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D8AD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8003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2FA401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C0438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 Id="rId88" Type="http://schemas.openxmlformats.org/officeDocument/2006/relationships/image" Target="media/file9ee4723c4d85.png"/>
</Relationships>

</file>

<file path=word/_rels/footnotes.xml.rels><?xml version="1.0" encoding="UTF-8" standalone="yes"?>

<Relationships  xmlns="http://schemas.openxmlformats.org/package/2006/relationships">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2022-03-18T12:40:13Z</dcterms:created>
  <dcterms:modified xsi:type="dcterms:W3CDTF">2022-03-18T13:40:13Z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