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00A05C" w14:textId="77777777" w:rsidR="009B47CB" w:rsidRDefault="00AF1415">
      <w:pPr>
        <w:pStyle w:val="Heading1"/>
      </w:pPr>
      <w:bookmarkStart w:id="0" w:name="abstract"/>
      <w:r>
        <w:t>Abstract</w:t>
      </w:r>
    </w:p>
    <w:p w14:paraId="0400A05D" w14:textId="77777777" w:rsidR="009B47CB" w:rsidRDefault="00AF1415">
      <w:r>
        <w:t>Exposure to adversity may impair executive functioning (i.e., deficit frameworks), but could also enhance, or leave intact, specific EF abilities (i.e., adaptation frameworks). Both frameworks often use raw performance (e.g., speed) to estimate EF ability. However, this approach (1) conflates different cognitive processes, and (2) generally does not distinguish specific EF abilities from processes that are shared across EF tasks, such as general processing speed. Here, we integrate deficit and adaptation fr</w:t>
      </w:r>
      <w:r>
        <w:t>ameworks by building bridges with mathematical and cognitive psychology. Specifically, we use cognitive modeling (Drift Diffusion Modeling) to isolate different cognitive processes: speed of information accumulation, response caution, and speed of stimulus encoding and response execution. We then use structural equation modeling to investigate whether associations between adversity and cognitive processes are task-general or ability-specific. We recruited 1061 participants from the Dutch LISS panel. Partici</w:t>
      </w:r>
      <w:r>
        <w:t>pants completed a basic processing speed task, two inhibition tasks, and three attention-shifting tasks. We measured exposure to threat and material deprivation in childhood and adulthood. Exposure to threat (but not material deprivation) in adulthood was negatively associated with task-general processing speed. After accounting for task-general processes, remaining variance was not related to either inhibition or attention-shifting ability. Non-preregistered analyses showed that childhood exposure to mater</w:t>
      </w:r>
      <w:r>
        <w:t>ial deprivation and threat were negatively associated with (1) general processing speed, and (2) task-specific information accumulation. The latter reflected unique features of individual tasks, rather than specific EF abilities. Taken together, these results suggest that adversity researchers overestimate associations between adversity and specific EF abilities when analyzing raw performance.</w:t>
      </w:r>
    </w:p>
    <w:p w14:paraId="0400A05E" w14:textId="77777777" w:rsidR="009B47CB" w:rsidRDefault="00AF1415">
      <w:pPr>
        <w:pStyle w:val="Heading1"/>
      </w:pPr>
      <w:bookmarkStart w:id="1" w:name="public-significance-statement"/>
      <w:bookmarkEnd w:id="0"/>
      <w:r>
        <w:lastRenderedPageBreak/>
        <w:t>Public significance statement</w:t>
      </w:r>
    </w:p>
    <w:p w14:paraId="0400A05F" w14:textId="77777777" w:rsidR="009B47CB" w:rsidRDefault="00AF1415">
      <w:r>
        <w:t>Decades of research suggests that adversity impairs executive functioning abilities, such as inhibition and attention shifting. These conclusions are often derived from analyzing raw performance, such as response times or accuracy. We use cognitive modeling to reveal that adversity lowers general processing speed, but not specific executive functioning abilities. This suggests that adversity research likely overestimates the extent to which adversity is associated with executive functioning abilities.</w:t>
      </w:r>
    </w:p>
    <w:p w14:paraId="0400A060" w14:textId="77777777" w:rsidR="009B47CB" w:rsidRDefault="00AF1415">
      <w:pPr>
        <w:pStyle w:val="BodyText"/>
      </w:pPr>
      <w:r>
        <w:rPr>
          <w:i/>
          <w:iCs/>
        </w:rPr>
        <w:t>Keywords</w:t>
      </w:r>
      <w:r>
        <w:t>: adversity, executive functioning, Drift Diffusion Modeling, structural equation modeling</w:t>
      </w:r>
    </w:p>
    <w:p w14:paraId="0400A061" w14:textId="77777777" w:rsidR="009B47CB" w:rsidRDefault="00AF1415">
      <w:r>
        <w:br w:type="page"/>
      </w:r>
    </w:p>
    <w:p w14:paraId="0400A062" w14:textId="77777777" w:rsidR="009B47CB" w:rsidRDefault="00AF1415">
      <w:pPr>
        <w:pStyle w:val="Heading4"/>
      </w:pPr>
      <w:bookmarkStart w:id="2" w:name="Xffa26245cf46f9cf74c733b571b54db813f44b8"/>
      <w:r>
        <w:rPr>
          <w:b/>
          <w:bCs/>
        </w:rPr>
        <w:lastRenderedPageBreak/>
        <w:t>Adversity is associated with lower general processing speed rather than specific executive functioning abilities</w:t>
      </w:r>
    </w:p>
    <w:p w14:paraId="0400A063" w14:textId="77777777" w:rsidR="009B47CB" w:rsidRDefault="00AF1415">
      <w:r>
        <w:t>Psychologists have used two main frameworks to explain associations between adversity exposure—such as material deprivation or threat—and executive functioning (EF); one focuses on deficits, the other on adaptation. Deficit frameworks predict that adverse experiences impair brain structure and function in ways that undermine social and cognitive abilities (Farah et al., 2006; Merz et al., 2019; Rosen et al., 2018; Ursache &amp; Noble, 2016). Adaptation frameworks predict that adverse experiences can lead to the</w:t>
      </w:r>
      <w:r>
        <w:t xml:space="preserve"> development of intact or enhanced EF abilities, specifically those abilities useful for solving challenges posed by adverse environments (Ellis et al., 2022; Frankenhuis et al., 2020; Frankenhuis &amp; Weerth, 2013).</w:t>
      </w:r>
    </w:p>
    <w:p w14:paraId="0400A064" w14:textId="77777777" w:rsidR="009B47CB" w:rsidRDefault="00AF1415">
      <w:pPr>
        <w:pStyle w:val="BodyText"/>
      </w:pPr>
      <w:r>
        <w:t>Although the two frameworks make opposing predictions in some cases, they share the goal to reveal how adversity influences specific EF abilities (Ellis et al., 2022; Farah et al., 2006; Frankenhuis et al., 2020; Johnson et al., 2021). Knowledge about impaired abilities provides valuable targets for interventions designed to bridge achievement gaps. Conversely, knowledge about enhanced abilities can be leveraged in school or work contexts, for instance, by redesigning learning settings to match people’s uni</w:t>
      </w:r>
      <w:r>
        <w:t>que strengths.</w:t>
      </w:r>
    </w:p>
    <w:p w14:paraId="0400A065" w14:textId="77777777" w:rsidR="009B47CB" w:rsidRDefault="00AF1415">
      <w:pPr>
        <w:pStyle w:val="BodyText"/>
      </w:pPr>
      <w:r>
        <w:t>Research within both frameworks typically employs the same inferential strategy, by estimating specific EF abilities based on raw performance on EF tasks (e.g., response speed or accuracy). For instance, on the one hand, children who live in less favorable environments tend to be slower and less accurate on inhibition tasks—which has been interpreted as an impaired ability to inhibit distractions (Farah et al., 2006; Fields et al., 2021; Mezzacappa, 2004; Mittal et al., 2015; Noble et al., 2005). On the oth</w:t>
      </w:r>
      <w:r>
        <w:t xml:space="preserve">er hand, some studies report that adolescents and young adults with more exposure to threat and unpredictability might perform better at shifting their </w:t>
      </w:r>
      <w:r>
        <w:lastRenderedPageBreak/>
        <w:t>attention between different tasks, without sacrificing much performance on each task—which may be a useful adaptation for tracking information in fast changing and dangerous environments (Fields et al., 2021; Howard et al., 2020; Mittal et al., 2015; Nweze et al., 2021; Young et al., 2022). In this paper, we will challenge the inferential strategy of estimat</w:t>
      </w:r>
      <w:r>
        <w:t>ing EF abilities based on raw performance. We advocate for cognitive modeling as a viable alternative approach to estimating EF abilities.</w:t>
      </w:r>
    </w:p>
    <w:p w14:paraId="0400A066" w14:textId="77777777" w:rsidR="009B47CB" w:rsidRDefault="00AF1415">
      <w:pPr>
        <w:pStyle w:val="Heading1"/>
      </w:pPr>
      <w:bookmarkStart w:id="3" w:name="X10c668706f5e03b555e8090196cc86ea3e56782"/>
      <w:bookmarkEnd w:id="2"/>
      <w:bookmarkEnd w:id="1"/>
      <w:r>
        <w:t>Methodological challenges for measuring specific EF abilities</w:t>
      </w:r>
    </w:p>
    <w:p w14:paraId="0400A067" w14:textId="77777777" w:rsidR="009B47CB" w:rsidRDefault="00AF1415">
      <w:r>
        <w:t>Recent research shows that raw performance on EF tasks does not necessarily capture specific EF abilities, for two related reasons. First, raw performance on EF tasks is also influenced by processes other than the ability of interest, such as response caution and the speed of response execution (Hedge et al., 2021; Ratcliff &amp; McKoon, 2008; Stahl et al., 2014). Thus, slower (or faster) responses in people with more adversity exposure need not reflect EF ability, but could, for instance, reflect a tendency to</w:t>
      </w:r>
      <w:r>
        <w:t xml:space="preserve"> respond more cautiously (Vermeent, Schubert, Young, et al., 2024). Second, raw performance on EF tasks is also influenced by general processes, such as basic speed of information processing (Frischkorn et al., 2019; Löffler et al., 2024; Weigard et al., 2021). Thus, lower performance on multiple EF tasks may reflect a difference in a general process, rather than specific EF abilities (Bignardi et al., 2024; Vermeent, Schubert, Young, et al., 2024; Young et al., 2024).</w:t>
      </w:r>
    </w:p>
    <w:p w14:paraId="0400A068" w14:textId="77777777" w:rsidR="009B47CB" w:rsidRDefault="00AF1415">
      <w:pPr>
        <w:pStyle w:val="BodyText"/>
      </w:pPr>
      <w:r>
        <w:t xml:space="preserve">The standard inferential strategy of estimating EF abilities from raw performance limits the effectiveness of interventions. For example, some interventions include training modules for specific EF tasks if performance on a task is below some prespecified cut-off (Distefano et al., 2021). Performance on inhibition tasks in particular is thought to mediate the association between adversity exposure and achievement (Taylor &amp; Barch, 2022). At face value, this would suggest </w:t>
      </w:r>
      <w:r>
        <w:lastRenderedPageBreak/>
        <w:t xml:space="preserve">interventions targeting inhibition ability (e.g., inhibition training, which might involve removing distractions from the environment) could positively impact achievement outcomes. However, if impaired inhibition ability is </w:t>
      </w:r>
      <w:r>
        <w:rPr>
          <w:i/>
          <w:iCs/>
        </w:rPr>
        <w:t>not</w:t>
      </w:r>
      <w:r>
        <w:t xml:space="preserve"> the root cause of performance differences, but rather general processes are (such as the speed of information processing), the impact of such interventions will likely be limited. Therefore, adversity research should move beyond the use of raw performance to better understand the ass</w:t>
      </w:r>
      <w:r>
        <w:t>ociations between adversity exposures and specific EF abilities.</w:t>
      </w:r>
    </w:p>
    <w:p w14:paraId="0400A069" w14:textId="77777777" w:rsidR="009B47CB" w:rsidRDefault="00AF1415">
      <w:pPr>
        <w:pStyle w:val="Heading1"/>
      </w:pPr>
      <w:bookmarkStart w:id="4" w:name="Xc2a3a95f485d29eaf584dddadc14790b577de40"/>
      <w:bookmarkEnd w:id="3"/>
      <w:r>
        <w:t>Separating EF ability from other decision-making processes</w:t>
      </w:r>
    </w:p>
    <w:p w14:paraId="0400A06A" w14:textId="77777777" w:rsidR="009B47CB" w:rsidRDefault="00AF1415">
      <w:r>
        <w:t>Raw performance confounds multiple stages of processing: from initial preparations (e.g., stimulus encoding), to processing task-relevant information, to deciding on and executing a response (Forstmann et al., 2016; Ratcliff, 1978; Wagenmakers, 2009). Individual differences in response times and error rates also depend on how cautiously people make decisions. More cautious people tend to respond more slowly to increase their accuracy, which does not necessarily imply lower ability (Voss et al., 2004). Thus,</w:t>
      </w:r>
      <w:r>
        <w:t xml:space="preserve"> understanding associations between adversity and specific EF abilities requires isolating ability-relevant processing (e.g., inhibition, attention-shifting) from ability-irrelevant processes that contribute to response times.</w:t>
      </w:r>
    </w:p>
    <w:p w14:paraId="0400A06B" w14:textId="77777777" w:rsidR="009B47CB" w:rsidRDefault="00AF1415">
      <w:pPr>
        <w:pStyle w:val="BodyText"/>
      </w:pPr>
      <w:r>
        <w:t>Cognitive modeling can distinguish between abilities and ability-irrelevant processes. Here, we focus on the Drift Diffusion Model (DDM; Forstmann et al., 2016; Ratcliff &amp; McKoon, 2008; Ratcliff &amp; Rouder, 1998; Wagenmakers, 2009), which can be applied to many widely used EF tasks. The DDM assumes that people accumulate evidence for one of two responses (e.g., left or right button) until they have acquired sufficient evidence to make a decision (see Figure 1). When applied to trial-level response times and a</w:t>
      </w:r>
      <w:r>
        <w:t xml:space="preserve">ccuracy data, the DDM estimates four parameters that represent distinct cognitive processes (Voss et al., 2004). The </w:t>
      </w:r>
      <w:r>
        <w:rPr>
          <w:i/>
          <w:iCs/>
        </w:rPr>
        <w:t>drift rate</w:t>
      </w:r>
      <w:r>
        <w:t xml:space="preserve"> reflects the rate at which people accumulate evidence for the correct response; thus, it measures the efficiency of </w:t>
      </w:r>
      <w:r>
        <w:lastRenderedPageBreak/>
        <w:t>information processing. A higher drift rate leads to faster responses and higher accuracy. When applied to EF tasks, the drift rate captures individual differences in specific EF abilities (although drift rate may also capture more general processes, see below; Löffle</w:t>
      </w:r>
      <w:r>
        <w:t xml:space="preserve">r et al., 2024; Vermeent, Schubert, Young, et al., 2024; Weigard et al., 2021). The </w:t>
      </w:r>
      <w:r>
        <w:rPr>
          <w:i/>
          <w:iCs/>
        </w:rPr>
        <w:t>boundary separation</w:t>
      </w:r>
      <w:r>
        <w:t xml:space="preserve"> reflects the width between the two decision boundaries; it measures a person’s response caution. A higher boundary separation leads to slower responses and higher accuracy. The </w:t>
      </w:r>
      <w:r>
        <w:rPr>
          <w:i/>
          <w:iCs/>
        </w:rPr>
        <w:t>non-decision time</w:t>
      </w:r>
      <w:r>
        <w:t xml:space="preserve"> reflects a combination of preparation time (e.g., stimulus encoding) as well as execution time (e.g., time spent pressing the button). A larger non-decision time leads to slower responses without a change in accur</w:t>
      </w:r>
      <w:r>
        <w:t xml:space="preserve">acy. Finally, the </w:t>
      </w:r>
      <w:r>
        <w:rPr>
          <w:i/>
          <w:iCs/>
        </w:rPr>
        <w:t>starting-point</w:t>
      </w:r>
      <w:r>
        <w:t xml:space="preserve"> allows for initial bias for one of two responses (e.g., happy or angry faces). In this paper, we will not consider the starting point, because people cannot have biases towards correct or incorrect responses.</w:t>
      </w:r>
    </w:p>
    <w:p w14:paraId="0400A06C" w14:textId="77777777" w:rsidR="009B47CB" w:rsidRDefault="00AF1415">
      <w:r>
        <w:rPr>
          <w:noProof/>
        </w:rPr>
        <w:drawing>
          <wp:inline distT="0" distB="0" distL="0" distR="0" wp14:anchorId="0400A2D5" wp14:editId="0400A2D6">
            <wp:extent cx="5486400" cy="2251832"/>
            <wp:effectExtent l="0" t="0" r="0" b="0"/>
            <wp:docPr id="25" name="Picture" descr="Figure 1. Visual representation of the Drift Diffusion Model (DDM). The DDM assumes that people accumulate evidence for one of two responses until they have acquired sufficient evidence to make a decision. Each squiggly line represents the evidence accumulation process on a single trial. The thick, horizontal lines represent the decision boundaries corresponding to the correct response (upper boundary) and the incorrect response (lower boundary). Applying the DDM to trial-level performance data (response times and accuracies) yields four parameters representing distinct cognitive processes: (1) drift rate: Average rate of evidence accumulation across trials; measuring the efficiency of information processing. (2) boundary separation: The distance between the two decision boundaries; measuring response caution. (3) Non-decision time: A combination of the preparation speed (e.g., stimulus encoding) and response execution speed (e.g., time spent pressing the button); measuring speed of non-decision processes. starting point: The starting point of the evidence accumulation process; measuring response bias (not considered here). Figure adopted from Vermeent et al. (2024), licensed under CC BY 4.0."/>
            <wp:cNvGraphicFramePr/>
            <a:graphic xmlns:a="http://schemas.openxmlformats.org/drawingml/2006/main">
              <a:graphicData uri="http://schemas.openxmlformats.org/drawingml/2006/picture">
                <pic:pic xmlns:pic="http://schemas.openxmlformats.org/drawingml/2006/picture">
                  <pic:nvPicPr>
                    <pic:cNvPr id="26" name="Picture" descr="figures/fig1.png"/>
                    <pic:cNvPicPr>
                      <a:picLocks noChangeAspect="1" noChangeArrowheads="1"/>
                    </pic:cNvPicPr>
                  </pic:nvPicPr>
                  <pic:blipFill>
                    <a:blip r:embed="rId7"/>
                    <a:stretch>
                      <a:fillRect/>
                    </a:stretch>
                  </pic:blipFill>
                  <pic:spPr bwMode="auto">
                    <a:xfrm>
                      <a:off x="0" y="0"/>
                      <a:ext cx="5486400" cy="2251832"/>
                    </a:xfrm>
                    <a:prstGeom prst="rect">
                      <a:avLst/>
                    </a:prstGeom>
                    <a:noFill/>
                    <a:ln w="9525">
                      <a:noFill/>
                      <a:headEnd/>
                      <a:tailEnd/>
                    </a:ln>
                  </pic:spPr>
                </pic:pic>
              </a:graphicData>
            </a:graphic>
          </wp:inline>
        </w:drawing>
      </w:r>
    </w:p>
    <w:p w14:paraId="0400A06D" w14:textId="77777777" w:rsidR="009B47CB" w:rsidRDefault="00AF1415">
      <w:pPr>
        <w:pStyle w:val="ImageCaption"/>
      </w:pPr>
      <w:r>
        <w:rPr>
          <w:b/>
          <w:bCs/>
        </w:rPr>
        <w:t>Figure 1.</w:t>
      </w:r>
      <w:r>
        <w:t xml:space="preserve"> Visual representation of the Drift Diffusion Model (DDM). The DDM assumes that people accumulate evidence for one of two responses until they have acquired sufficient evidence to make a decision. Each squiggly line represents the evidence accumulation process on a single trial. The thick, horizontal lines represent the decision boundaries corresponding to the correct response (upper boundary) and the incorrect response (lower boundary). Applying the DDM to trial-level performance data (response times and a</w:t>
      </w:r>
      <w:r>
        <w:t xml:space="preserve">ccuracies) yields four parameters representing distinct cognitive processes: (1) </w:t>
      </w:r>
      <w:r>
        <w:rPr>
          <w:b/>
          <w:bCs/>
        </w:rPr>
        <w:t>drift rate</w:t>
      </w:r>
      <w:r>
        <w:t xml:space="preserve">: Average rate of evidence accumulation across trials; measuring the efficiency of information processing. (2) </w:t>
      </w:r>
      <w:r>
        <w:rPr>
          <w:b/>
          <w:bCs/>
        </w:rPr>
        <w:t>boundary separation</w:t>
      </w:r>
      <w:r>
        <w:t xml:space="preserve">: The distance between the two decision boundaries; measuring response caution. (3) </w:t>
      </w:r>
      <w:r>
        <w:rPr>
          <w:b/>
          <w:bCs/>
        </w:rPr>
        <w:t>Non-decision time</w:t>
      </w:r>
      <w:r>
        <w:t xml:space="preserve">: A combination of the preparation speed (e.g., stimulus encoding) and response execution speed </w:t>
      </w:r>
      <w:r>
        <w:lastRenderedPageBreak/>
        <w:t xml:space="preserve">(e.g., time spent pressing the button); measuring speed of non-decision processes. </w:t>
      </w:r>
      <w:r>
        <w:rPr>
          <w:b/>
          <w:bCs/>
        </w:rPr>
        <w:t>starting po</w:t>
      </w:r>
      <w:r>
        <w:rPr>
          <w:b/>
          <w:bCs/>
        </w:rPr>
        <w:t>int</w:t>
      </w:r>
      <w:r>
        <w:t>: The starting point of the evidence accumulation process; measuring response bias (not considered here). Figure adopted from Vermeent et al. (2024), licensed under CC BY 4.0.</w:t>
      </w:r>
    </w:p>
    <w:p w14:paraId="0400A06E" w14:textId="77777777" w:rsidR="009B47CB" w:rsidRDefault="00AF1415">
      <w:pPr>
        <w:pStyle w:val="Heading1"/>
      </w:pPr>
      <w:bookmarkStart w:id="5" w:name="X433c4e92dc235b75de140a260a0db68f1f4058f"/>
      <w:bookmarkEnd w:id="4"/>
      <w:r>
        <w:t>Separating EF ability from general processing speed</w:t>
      </w:r>
    </w:p>
    <w:p w14:paraId="0400A06F" w14:textId="77777777" w:rsidR="009B47CB" w:rsidRDefault="00AF1415">
      <w:r>
        <w:t>Recent studies show that a single general factor accounts for most of the variance in drift rates across multiple tasks (Lerche et al., 2020; Löffler et al., 2024; Weigard et al., 2021). This general factor appears to be largely stable across time (Schubert et al., 2016; Weigard et al., 2021). It arises also in analyses of tasks thought to measure different abilities (Schmiedek et al., 2007; Schmitz &amp; Wilhelm, 2016). Even if all tasks are designed to measure the same EF ability (Hedge et al., 2021), varianc</w:t>
      </w:r>
      <w:r>
        <w:t>e in the general factor is fully explained by general processing speed instead of any specific EF ability (Löffler et al., 2024). These findings suggest that performance on standard EF tasks largely reflects basic speed of processing, rather than EF abilities.</w:t>
      </w:r>
    </w:p>
    <w:p w14:paraId="0400A070" w14:textId="77777777" w:rsidR="009B47CB" w:rsidRDefault="00AF1415">
      <w:pPr>
        <w:pStyle w:val="BodyText"/>
      </w:pPr>
      <w:r>
        <w:t>Recent findings suggest that the effects of adversity are more general than specific. For instance, youth with lower SES and more exposure to adversity show lower task-general raw performance scores across measures of EF, memory, and intelligence, while task-specific performance (after accounting for general variance) is often practically equivalent to zero (Bignardi et al., 2024; Young et al., 2024). In addition, youth with more exposure to household threat showed lower task-general processing speed (based</w:t>
      </w:r>
      <w:r>
        <w:t xml:space="preserve"> on drift rates), while differences in task-specific drift rates were practically equivalent to zero (Vermeent, Schubert, Young, et al., 2024). These findings suggest that previous research may have overestimated the associations between adversity and specific abilities.</w:t>
      </w:r>
    </w:p>
    <w:p w14:paraId="0400A071" w14:textId="77777777" w:rsidR="009B47CB" w:rsidRDefault="00AF1415">
      <w:pPr>
        <w:pStyle w:val="BodyText"/>
      </w:pPr>
      <w:r>
        <w:t xml:space="preserve">A consequence of both sources of measurement impurity is that estimating specific EF abilities requires latent variable models including two or more measures of the same ability; yet, most studies in adversity research include only one task per EF ability. This makes this work less suitable to investigate whether adversity is associated with specific EF abilities after accounting </w:t>
      </w:r>
      <w:r>
        <w:lastRenderedPageBreak/>
        <w:t>for general processes. This is important for both deficit-based and adaptation-based interventions, which aim to remediate or leverage impaired or enhanced abilities, respectively. Moreover, while deficit frameworks predict impairments in both specific abilities and general processes (Vermeent, Schubert, Young, et al., 2024), adaptation frameworks predict that specific types of adversity lead to adaptations in specific EF abilities. For example, it has been proposed that unpredictable and dangerous environm</w:t>
      </w:r>
      <w:r>
        <w:t>ents may positively affect the ability to rapidly shift attention, promoting the detection of sudden threats and seizing fleeting opportunities (Frankenhuis et al., 2020; Mittal et al., 2015). In the current research, therefore, we investigate the associations between adversity and two latent EF abilities—–inhibition and attention shifting—–after accounting for task-general processing speed. We will use multiple tasks for each ability to obtain better estimates of specific abilities.</w:t>
      </w:r>
    </w:p>
    <w:p w14:paraId="0400A072" w14:textId="77777777" w:rsidR="009B47CB" w:rsidRDefault="00AF1415">
      <w:pPr>
        <w:pStyle w:val="Heading1"/>
      </w:pPr>
      <w:bookmarkStart w:id="6" w:name="the-current-study"/>
      <w:bookmarkEnd w:id="5"/>
      <w:r>
        <w:t>The current study</w:t>
      </w:r>
    </w:p>
    <w:p w14:paraId="0400A073" w14:textId="77777777" w:rsidR="009B47CB" w:rsidRDefault="00AF1415">
      <w:r>
        <w:t>Using a combination of DDM and structural equation modeling, we address three central questions. First, what is the association of adversity exposure in adulthood with general processing speed that is contributing to performance across all cognitive tasks? Second, what is the association of adversity exposure in adulthood with inhibition and attention-shifting abilities after accounting for general processing speed? Third, what is the association of adversity exposure in adulthood with general and/or EF-spe</w:t>
      </w:r>
      <w:r>
        <w:t xml:space="preserve">cific response caution? We focus on two types of adversity: material deprivation (a lack of access to material resources) and threat (the potential for harm imposed by others). In previous research, both types of adversity were associated with performance on tasks used to measure EF (e.g., Fields et al., 2021; Schäfer et al., 2022; Sheridan et al., 2022; Vermeent, Schubert, Young, et al., 2024; Young et al., 2022). In addition, both are </w:t>
      </w:r>
      <w:r>
        <w:lastRenderedPageBreak/>
        <w:t>central to recent dimensional models of adversity (McLaughlin et al., 2</w:t>
      </w:r>
      <w:r>
        <w:t>021; Sheridan &amp; McLaughlin, 2014).</w:t>
      </w:r>
    </w:p>
    <w:p w14:paraId="0400A074" w14:textId="77777777" w:rsidR="009B47CB" w:rsidRDefault="00AF1415">
      <w:pPr>
        <w:pStyle w:val="BodyText"/>
      </w:pPr>
      <w:r>
        <w:t xml:space="preserve">We preregistered predictions of deficit and adaptation frameworks. Deficit frameworks predict negative associations between adversity and both the general speed of processing as well as specific abilities. Adaptation frameworks predict intact or enhanced attention shifting ability, but not intact or enhanced inhibition ability. We only interpret intact attention shifting ability as an adaptation if inhibition ability is also lower. Intact performance on both abilities, however, would not provide sufficient </w:t>
      </w:r>
      <w:r>
        <w:t>evidence of adaptation, as it might instead suggest no association between adversity exposure and these abilities. In line with previous work (Vermeent, Schubert, Young, et al., 2024), we further predict that threat exposure is associated with higher task-general response caution.</w:t>
      </w:r>
    </w:p>
    <w:p w14:paraId="0400A075" w14:textId="77777777" w:rsidR="009B47CB" w:rsidRDefault="00AF1415">
      <w:pPr>
        <w:pStyle w:val="Heading1"/>
      </w:pPr>
      <w:bookmarkStart w:id="7" w:name="methods"/>
      <w:bookmarkEnd w:id="6"/>
      <w:r>
        <w:t>Methods</w:t>
      </w:r>
    </w:p>
    <w:p w14:paraId="0400A076" w14:textId="77777777" w:rsidR="009B47CB" w:rsidRDefault="00AF1415">
      <w:pPr>
        <w:pStyle w:val="Heading2"/>
      </w:pPr>
      <w:bookmarkStart w:id="8" w:name="participants"/>
      <w:r>
        <w:t>Participants</w:t>
      </w:r>
    </w:p>
    <w:p w14:paraId="0400A077" w14:textId="77777777" w:rsidR="009B47CB" w:rsidRDefault="00AF1415">
      <w:r>
        <w:t>We tested a total of 1061 participants from the Dutch Longitudinal Internet Studies for the Social Sciences (LISS) panel (Scherpenzeel, 2011). The LISS panel is an invitation-only, representative sample of the Dutch population consisting of approximately 7,500 individuals across 5,000 households. LISS participants complete a yearly core battery of questionnaires about various domains of life, including one’s financial situation over the past year. In addition, LISS participants have the option to participat</w:t>
      </w:r>
      <w:r>
        <w:t xml:space="preserve">e in further monthly studies on different topics. We estimated power based on Kretzschmar &amp; Gignac (2019). With </w:t>
      </w:r>
      <m:oMath>
        <m:r>
          <w:rPr>
            <w:rFonts w:ascii="Cambria Math" w:hAnsi="Cambria Math"/>
          </w:rPr>
          <m:t>α</m:t>
        </m:r>
      </m:oMath>
      <w:r>
        <w:t xml:space="preserve"> = 0.05 and assuming moderate reliability of our cognitive measures, we would have &gt; 90% power to detect small effect sizes (</w:t>
      </w:r>
      <m:oMath>
        <m:r>
          <w:rPr>
            <w:rFonts w:ascii="Cambria Math" w:hAnsi="Cambria Math"/>
          </w:rPr>
          <m:t>β</m:t>
        </m:r>
      </m:oMath>
      <w:r>
        <w:t xml:space="preserve"> = 0.1) with a sample size ranging between N = 730 and N = 980. Therefore, we aimed for a total sample size of N = 1,000.</w:t>
      </w:r>
    </w:p>
    <w:p w14:paraId="0400A078" w14:textId="77777777" w:rsidR="009B47CB" w:rsidRDefault="00AF1415">
      <w:pPr>
        <w:pStyle w:val="BodyText"/>
      </w:pPr>
      <w:r>
        <w:lastRenderedPageBreak/>
        <w:t xml:space="preserve">The current study took place between May and August 2024. </w:t>
      </w:r>
      <w:r>
        <w:t>Participants were able to complete the cognitive tasks during two or more sessions to increase participation rates. People were eligible for the study if they were between 18 and 55 years old, and had agreed to linking their LISS data to government microdata (not relevant here, but for a different study). We excluded participants who did not have data on any cognitive task. The final sample after exclusions consisted of 1056 participants (see Table 1).</w:t>
      </w:r>
    </w:p>
    <w:p w14:paraId="0400A079" w14:textId="77777777" w:rsidR="009B47CB" w:rsidRDefault="009B47CB">
      <w:pPr>
        <w:pStyle w:val="BodyText"/>
      </w:pPr>
    </w:p>
    <w:tbl>
      <w:tblPr>
        <w:tblW w:w="0" w:type="auto"/>
        <w:jc w:val="center"/>
        <w:tblLayout w:type="fixed"/>
        <w:tblLook w:val="0420" w:firstRow="1" w:lastRow="0" w:firstColumn="0" w:lastColumn="0" w:noHBand="0" w:noVBand="1"/>
      </w:tblPr>
      <w:tblGrid>
        <w:gridCol w:w="4117"/>
        <w:gridCol w:w="1165"/>
      </w:tblGrid>
      <w:tr w:rsidR="009B47CB" w14:paraId="0400A07B" w14:textId="77777777">
        <w:trPr>
          <w:tblHeader/>
          <w:jc w:val="center"/>
        </w:trPr>
        <w:tc>
          <w:tcPr>
            <w:tcW w:w="5282" w:type="dxa"/>
            <w:gridSpan w:val="2"/>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07A"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b/>
                <w:color w:val="000000"/>
                <w:sz w:val="20"/>
                <w:szCs w:val="20"/>
              </w:rPr>
              <w:t xml:space="preserve">Table 1. </w:t>
            </w:r>
            <w:r>
              <w:rPr>
                <w:rFonts w:ascii="Times" w:eastAsia="Arial" w:hAnsi="Arial" w:cs="Arial"/>
                <w:color w:val="000000"/>
                <w:sz w:val="20"/>
                <w:szCs w:val="20"/>
              </w:rPr>
              <w:t>Descriptive statistics for the final sample.</w:t>
            </w:r>
          </w:p>
        </w:tc>
      </w:tr>
      <w:tr w:rsidR="009B47CB" w14:paraId="0400A07E" w14:textId="77777777">
        <w:trPr>
          <w:tblHeader/>
          <w:jc w:val="center"/>
        </w:trPr>
        <w:tc>
          <w:tcPr>
            <w:tcW w:w="41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07C"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Category</w:t>
            </w:r>
          </w:p>
        </w:tc>
        <w:tc>
          <w:tcPr>
            <w:tcW w:w="116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07D"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Statistic</w:t>
            </w:r>
          </w:p>
        </w:tc>
      </w:tr>
      <w:tr w:rsidR="009B47CB" w14:paraId="0400A081" w14:textId="77777777">
        <w:trPr>
          <w:jc w:val="center"/>
        </w:trPr>
        <w:tc>
          <w:tcPr>
            <w:tcW w:w="411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7F"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Mean age (SD)</w:t>
            </w:r>
          </w:p>
        </w:tc>
        <w:tc>
          <w:tcPr>
            <w:tcW w:w="1165"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80"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39.3 (11.1)</w:t>
            </w:r>
          </w:p>
        </w:tc>
      </w:tr>
      <w:tr w:rsidR="009B47CB" w14:paraId="0400A084"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82"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Sex (% Female)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83"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55.7</w:t>
            </w:r>
          </w:p>
        </w:tc>
      </w:tr>
      <w:tr w:rsidR="009B47CB" w14:paraId="0400A087"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85"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Highest completed education (%)</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86"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9B47CB" w14:paraId="0400A08A"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88"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primary school</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89"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w:t>
            </w:r>
          </w:p>
        </w:tc>
      </w:tr>
      <w:tr w:rsidR="009B47CB" w14:paraId="0400A08D"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8B"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vmbo (intermediate secondary education)</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8C"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11.9</w:t>
            </w:r>
          </w:p>
        </w:tc>
      </w:tr>
      <w:tr w:rsidR="009B47CB" w14:paraId="0400A090"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8E"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havo/vwo (higher secondary education)</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8F"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15.4</w:t>
            </w:r>
          </w:p>
        </w:tc>
      </w:tr>
      <w:tr w:rsidR="009B47CB" w14:paraId="0400A093"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91"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mbo (intermediate vocational education)</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92"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39.1</w:t>
            </w:r>
          </w:p>
        </w:tc>
      </w:tr>
      <w:tr w:rsidR="009B47CB" w14:paraId="0400A096"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94"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hbo (higher vocational education)</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95"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36.9</w:t>
            </w:r>
          </w:p>
        </w:tc>
      </w:tr>
      <w:tr w:rsidR="009B47CB" w14:paraId="0400A099"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97"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wo (university)</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98"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27.9</w:t>
            </w:r>
          </w:p>
        </w:tc>
      </w:tr>
      <w:tr w:rsidR="009B47CB" w14:paraId="0400A09C"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9A"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other</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9B"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1.6</w:t>
            </w:r>
          </w:p>
        </w:tc>
      </w:tr>
      <w:tr w:rsidR="009B47CB" w14:paraId="0400A09F"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9D"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missing</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9E"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3.3</w:t>
            </w:r>
          </w:p>
        </w:tc>
      </w:tr>
      <w:tr w:rsidR="009B47CB" w14:paraId="0400A0A2"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A0"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Mean number of waves (SD)</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A1"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9B47CB" w14:paraId="0400A0A5"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A3"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Material deprivation</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A4"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8.7 (4.9)</w:t>
            </w:r>
          </w:p>
        </w:tc>
      </w:tr>
      <w:tr w:rsidR="009B47CB" w14:paraId="0400A0A8" w14:textId="77777777">
        <w:trPr>
          <w:jc w:val="center"/>
        </w:trPr>
        <w:tc>
          <w:tcPr>
            <w:tcW w:w="411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0A6"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Threat</w:t>
            </w:r>
          </w:p>
        </w:tc>
        <w:tc>
          <w:tcPr>
            <w:tcW w:w="1165"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0A7"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3.5 (2.3)</w:t>
            </w:r>
          </w:p>
        </w:tc>
      </w:tr>
    </w:tbl>
    <w:p w14:paraId="0400A0A9" w14:textId="77777777" w:rsidR="009B47CB" w:rsidRDefault="009B47CB">
      <w:pPr>
        <w:pStyle w:val="BodyText"/>
      </w:pPr>
    </w:p>
    <w:p w14:paraId="0400A0AA" w14:textId="77777777" w:rsidR="009B47CB" w:rsidRDefault="00AF1415">
      <w:pPr>
        <w:pStyle w:val="Heading2"/>
      </w:pPr>
      <w:bookmarkStart w:id="9" w:name="adversity-measures"/>
      <w:bookmarkEnd w:id="8"/>
      <w:r>
        <w:t>Adversity measures</w:t>
      </w:r>
    </w:p>
    <w:p w14:paraId="0400A0AB" w14:textId="77777777" w:rsidR="009B47CB" w:rsidRDefault="00AF1415">
      <w:r>
        <w:t>We preregistered our approach for computing adversity composite scores based on observed correlations between measures. If all measures of an adversity type (i.e., material deprivation and threat) correlated .60 or higher (indicating “strong” correlations, as was the case for material deprivation in adulthood), we calculated a uniformly weighted average. If one or more correlations were lower than .60 (as was the case for neighborhood threat in adulthood), we applied Principal Component Analysis to the sepa</w:t>
      </w:r>
      <w:r>
        <w:t xml:space="preserve">rate measures and extracted only the first </w:t>
      </w:r>
      <w:r>
        <w:lastRenderedPageBreak/>
        <w:t>principal component score. See section 1 of the supplemental materials for frequency distributions of all adversity measures.</w:t>
      </w:r>
    </w:p>
    <w:p w14:paraId="0400A0AC" w14:textId="77777777" w:rsidR="009B47CB" w:rsidRDefault="00AF1415">
      <w:pPr>
        <w:pStyle w:val="Heading3"/>
      </w:pPr>
      <w:bookmarkStart w:id="10" w:name="neighborhood-threat-in-adulthood"/>
      <w:r>
        <w:t>Neighborhood threat in adulthood</w:t>
      </w:r>
    </w:p>
    <w:p w14:paraId="0400A0AD" w14:textId="77777777" w:rsidR="009B47CB" w:rsidRDefault="00AF1415">
      <w:r>
        <w:t>Following our preregistration, we measured exposure to neighborhood violence in adulthood using two measures of perceived neighborhood crime, and one measure of crime victimization. Participants completed the Neighborhood Violence Scale (Frankenhuis et al., 2020; Frankenhuis &amp; Bijlstra, 2018). This scale includes seven items about current perceived neighborhood threat (e.g., “Where I live, it is important to be able to defend yourself against physical harm”), on a scale of 1 (“Completely disagree”) to 7 (“C</w:t>
      </w:r>
      <w:r>
        <w:t xml:space="preserve">ompletely agree”). These items were averaged and standardized. We also included four items on perceived neighborhood threat from the LISS archive (six waves: </w:t>
      </w:r>
      <w:hyperlink r:id="rId8">
        <w:r>
          <w:rPr>
            <w:rStyle w:val="Hyperlink"/>
          </w:rPr>
          <w:t>https://doi.org/10.17026/dans-zch-j8xt</w:t>
        </w:r>
      </w:hyperlink>
      <w:r>
        <w:t>). Participants reported how frequently they: (1) “avoid certain areas in your place of residence because you perceive them as unsafe”, (2) “do not respond to a call at the door because you feel that it is unsafe”, (3) “leave valuable items at home to avoid theft or robbery in the street?”, (4) “make a detour, by car or on foot, to avoid unsafe areas?”. The scale of these four items ranged from 1 (“(Almost) never”), 2 (“Sometimes”), to 3 (“Often”). We intended to include these items again in the current stu</w:t>
      </w:r>
      <w:r>
        <w:t xml:space="preserve">dy, but due to an oversight this did not happen. This meant that we did not have data on these items for participants who never participated in any of the six waves described above (missing N = 348). We decided to conduct all analyses involving threat based only on this subset of the data (N = 708), because </w:t>
      </w:r>
      <w:r>
        <w:rPr>
          <w:i/>
          <w:iCs/>
        </w:rPr>
        <w:t>a priori</w:t>
      </w:r>
      <w:r>
        <w:t xml:space="preserve"> power remained above 80% (Kretzschmar &amp; Gignac, 2019). We summed the items within each wave, and then calculated an average across waves for which participants had data.</w:t>
      </w:r>
    </w:p>
    <w:p w14:paraId="0400A0AE" w14:textId="77777777" w:rsidR="009B47CB" w:rsidRDefault="00AF1415">
      <w:pPr>
        <w:pStyle w:val="BodyText"/>
      </w:pPr>
      <w:r>
        <w:t xml:space="preserve">We computed crime victimization in adulthood based on seven items from the LISS archive (six waves: </w:t>
      </w:r>
      <w:hyperlink r:id="rId9">
        <w:r>
          <w:rPr>
            <w:rStyle w:val="Hyperlink"/>
          </w:rPr>
          <w:t>https://doi.org/10.17026/dans-zch-j8xt</w:t>
        </w:r>
      </w:hyperlink>
      <w:r>
        <w:t xml:space="preserve">) in which participants reported </w:t>
      </w:r>
      <w:r>
        <w:lastRenderedPageBreak/>
        <w:t>whether or not they had been the victim of seven types of crime in the last two years: (1) burglary or attempted burglary; (2) theft from their car; (3) theft of their wallet or purse, handbag, or other personal possession; (4) wreckage of their car or other private property; (5) intimidation by any other means; (6) maltreatment of such serious nature that it required medical attention; and (7) maltreatment that did not require medical attention. We also included these items</w:t>
      </w:r>
      <w:r>
        <w:t xml:space="preserve"> again in the current study, with people answering them about the last two years. We computed the total number of distinct crimes that participants were exposed to at any moment in time (a ‘variety score’; Sweeten, 2012).</w:t>
      </w:r>
    </w:p>
    <w:p w14:paraId="0400A0AF" w14:textId="77777777" w:rsidR="009B47CB" w:rsidRDefault="00AF1415">
      <w:pPr>
        <w:pStyle w:val="BodyText"/>
      </w:pPr>
      <w:r>
        <w:t>The correlations between the two measures of perceived neighborhood crime and crime victimization were low (see Table 2). Therefore, following our preregistration, we used Principal Component Analysis to extract the first principal component score. This score accounted for 23 % of the variance in the three measures.</w:t>
      </w:r>
    </w:p>
    <w:p w14:paraId="0400A0B0" w14:textId="77777777" w:rsidR="009B47CB" w:rsidRDefault="00AF1415">
      <w:pPr>
        <w:pStyle w:val="Heading3"/>
      </w:pPr>
      <w:bookmarkStart w:id="11" w:name="material-deprivation-in-adulthood"/>
      <w:bookmarkEnd w:id="10"/>
      <w:r>
        <w:t>Material deprivation in adulthood</w:t>
      </w:r>
    </w:p>
    <w:p w14:paraId="0400A0B1" w14:textId="77777777" w:rsidR="009B47CB" w:rsidRDefault="00AF1415">
      <w:r>
        <w:t xml:space="preserve">We derived measures of material deprivation in adulthood from the LISS archive, using the yearly recurring core study on household and personal income (16 waves: </w:t>
      </w:r>
      <w:hyperlink r:id="rId10">
        <w:r>
          <w:rPr>
            <w:rStyle w:val="Hyperlink"/>
          </w:rPr>
          <w:t>https://doi.org/10.57990/1gr4-bf42</w:t>
        </w:r>
      </w:hyperlink>
      <w:r>
        <w:t xml:space="preserve">). First, participants reported how difficult it currently is to live off the income of their household, on a scale from 0 (very hard) to 10 (very easy). Second, participants reported which of the following statements best described their current financial situation: (1) “we are accumulating debt”; (2) “we are somewhat eating into savings”; (3) “we are just managing to make ends meet”; (4) “we have a little bit of money to spare”; (5) “we have a lot of money to spare”. Third, participants reported which of </w:t>
      </w:r>
      <w:r>
        <w:t xml:space="preserve">the following applied to their current financial situation (0 = no, 1 = yes): (1) “having trouble making ends meet”; (2) “unable to quickly replace things that break”; (3) “having to lend money for necessary expenditures”; (4) </w:t>
      </w:r>
      <w:r>
        <w:lastRenderedPageBreak/>
        <w:t>“running behind in paying rent/mortgage or general utilities”; (5) “debt collector/bailiff at the door in the last month”; and (6) “received financial support from family or friends in the last month”. We recoded responses so that higher scores indicated more perceived scarcity.</w:t>
      </w:r>
    </w:p>
    <w:p w14:paraId="0400A0B2" w14:textId="77777777" w:rsidR="009B47CB" w:rsidRDefault="00AF1415">
      <w:pPr>
        <w:pStyle w:val="BodyText"/>
      </w:pPr>
      <w:r>
        <w:t>We first reverse-coded and averaged each measure separately across waves, and then scaled them. As all item correlations were &gt; .60 (see Table 2), we computed a uniformly weighted average.</w:t>
      </w:r>
    </w:p>
    <w:p w14:paraId="0400A0B3" w14:textId="77777777" w:rsidR="009B47CB" w:rsidRDefault="009B47CB">
      <w:pPr>
        <w:sectPr w:rsidR="009B47CB" w:rsidSect="00AF1415">
          <w:headerReference w:type="default" r:id="rId11"/>
          <w:headerReference w:type="first" r:id="rId12"/>
          <w:pgSz w:w="12240" w:h="15840"/>
          <w:pgMar w:top="1417" w:right="1417" w:bottom="1417" w:left="1417" w:header="708" w:footer="708" w:gutter="0"/>
          <w:lnNumType w:countBy="1"/>
          <w:cols w:space="708"/>
          <w:titlePg/>
          <w:docGrid w:linePitch="326"/>
        </w:sectPr>
      </w:pPr>
    </w:p>
    <w:tbl>
      <w:tblPr>
        <w:tblW w:w="0" w:type="auto"/>
        <w:jc w:val="center"/>
        <w:tblLayout w:type="fixed"/>
        <w:tblLook w:val="0420" w:firstRow="1" w:lastRow="0" w:firstColumn="0" w:lastColumn="0" w:noHBand="0" w:noVBand="1"/>
      </w:tblPr>
      <w:tblGrid>
        <w:gridCol w:w="3055"/>
        <w:gridCol w:w="764"/>
        <w:gridCol w:w="764"/>
        <w:gridCol w:w="764"/>
        <w:gridCol w:w="764"/>
        <w:gridCol w:w="764"/>
        <w:gridCol w:w="764"/>
        <w:gridCol w:w="764"/>
        <w:gridCol w:w="764"/>
        <w:gridCol w:w="764"/>
        <w:gridCol w:w="764"/>
        <w:gridCol w:w="764"/>
        <w:gridCol w:w="653"/>
      </w:tblGrid>
      <w:tr w:rsidR="009B47CB" w14:paraId="0400A0B5" w14:textId="77777777">
        <w:trPr>
          <w:tblHeader/>
          <w:jc w:val="center"/>
        </w:trPr>
        <w:tc>
          <w:tcPr>
            <w:tcW w:w="12112" w:type="dxa"/>
            <w:gridSpan w:val="13"/>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0B4"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b/>
                <w:color w:val="000000"/>
                <w:sz w:val="20"/>
                <w:szCs w:val="20"/>
              </w:rPr>
              <w:lastRenderedPageBreak/>
              <w:t xml:space="preserve">Table 2. </w:t>
            </w:r>
            <w:r>
              <w:rPr>
                <w:rFonts w:ascii="Times" w:eastAsia="Arial" w:hAnsi="Arial" w:cs="Arial"/>
                <w:color w:val="000000"/>
                <w:sz w:val="20"/>
                <w:szCs w:val="20"/>
              </w:rPr>
              <w:t>Spearman correlations between the main independent variables and covariates.</w:t>
            </w:r>
          </w:p>
        </w:tc>
      </w:tr>
      <w:tr w:rsidR="009B47CB" w14:paraId="0400A0C3" w14:textId="77777777">
        <w:trPr>
          <w:tblHeader/>
          <w:jc w:val="center"/>
        </w:trPr>
        <w:tc>
          <w:tcPr>
            <w:tcW w:w="305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0B6"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0B7"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0B8"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0B9"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0BA"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0BB"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0BC"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0BD"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7</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0BE"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8</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0BF"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0C0"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0C1"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11</w:t>
            </w:r>
          </w:p>
        </w:tc>
        <w:tc>
          <w:tcPr>
            <w:tcW w:w="6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0C2"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w:t>
            </w:r>
          </w:p>
        </w:tc>
      </w:tr>
      <w:tr w:rsidR="009B47CB" w14:paraId="0400A0D1" w14:textId="77777777">
        <w:trPr>
          <w:jc w:val="center"/>
        </w:trPr>
        <w:tc>
          <w:tcPr>
            <w:tcW w:w="3055"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C4"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 Living off income</w:t>
            </w: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C5"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C6"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C7"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C8"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C9"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CA"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CB"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CC"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CD"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CE"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CF"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D0"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9B47CB" w14:paraId="0400A0DF"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D2"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 Financial troubles</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D3"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0.67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D4"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D5"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D6"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D7"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D8"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D9"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DA"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DB"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DC"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DD"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DE"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9B47CB" w14:paraId="0400A0ED"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E0"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 Current situation</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E1"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0.73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E2"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0.65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E3"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E4"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E5"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E6"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E7"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E8"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E9"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EA"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EB"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EC"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9B47CB" w14:paraId="0400A0FB"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EE"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 Perceived scarcity</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EF"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0.96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F0"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0.73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F1"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0.79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F2"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F3"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F4"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F5"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F6"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F7"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F8"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F9"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FA"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9B47CB" w14:paraId="0400A109"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FC"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 Neighborhood safety</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FD"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0.20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FE"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0.17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0FF"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0.16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00"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0.17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01"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02"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03"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04"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05"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06"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07"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08"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9B47CB" w14:paraId="0400A117"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0A"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 Neighborhood Violence Scale</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0B"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0.25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0C"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0.19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0D"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0E"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0.19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0F"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10"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11"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12"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13"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14"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15"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16"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9B47CB" w14:paraId="0400A125"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18"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7. Crime victimization</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19"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1A"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1B"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0.17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1C"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0.29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1D"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1E"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1F"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20"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21"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22"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23"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24"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9B47CB" w14:paraId="0400A133"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26"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8. Threat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27"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0.29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28"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29"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2A"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0.27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2B"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0.71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2C"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0.79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2D"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0.30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2E"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2F"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30"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31"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32"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9B47CB" w14:paraId="0400A141"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34"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 Childhood adversity</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35"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36"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37"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38"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0.16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39"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3A"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0.38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3B"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0.05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3C"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0.32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3D"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3E"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3F"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40"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9B47CB" w14:paraId="0400A14F"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42"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 Sex assigned at birth</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43"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44"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45"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46"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47"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0.37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48"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49"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4A"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4B"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-0.05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4C"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4D"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4E"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9B47CB" w14:paraId="0400A15D"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50"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11. Age</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51"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-0.05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52"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53"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54"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0.07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55"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56"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57"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0.25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58"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59"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0.19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5A"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5B"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5C"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9B47CB" w14:paraId="0400A16B"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5E"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 Highest education</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5F"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-0.23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60"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-0.16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61"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-0.20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62"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-0.23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63"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64"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-0.09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65"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66"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67"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-0.12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68"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-0.00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69"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-0.06  </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6A"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r>
      <w:tr w:rsidR="009B47CB" w14:paraId="0400A179"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6C"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Mean</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6D"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4.34</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6E"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1.32</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6F"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2.36</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70"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2.45</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71"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1.59</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72"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2.50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73"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0.86</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74"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75"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76"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0.56</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77"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78"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w:t>
            </w:r>
          </w:p>
        </w:tc>
      </w:tr>
      <w:tr w:rsidR="009B47CB" w14:paraId="0400A187"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7A"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SD</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7B"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1.62</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7C"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0.59</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7D"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0.75</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7E"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0.91</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7F"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1.58</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80"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81"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1.23</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82"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0.71</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83"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84"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0.50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85"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86"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r>
      <w:tr w:rsidR="009B47CB" w14:paraId="0400A195"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88"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Min</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89"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8A"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8B"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8C"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8D"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8E"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8F"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90"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91"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-1.41</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92"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93"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-2.01</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94"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-2.42</w:t>
            </w:r>
          </w:p>
        </w:tc>
      </w:tr>
      <w:tr w:rsidR="009B47CB" w14:paraId="0400A1A3"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96"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Max</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97"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98"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99"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9A"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5.96</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9B"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8.00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9C"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6.57</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9D"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7.00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9E"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3.93</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9F"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4.23</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A0"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A1"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1.50</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A2"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3.18</w:t>
            </w:r>
          </w:p>
        </w:tc>
      </w:tr>
      <w:tr w:rsidR="009B47CB" w14:paraId="0400A1B1" w14:textId="77777777">
        <w:trPr>
          <w:jc w:val="center"/>
        </w:trPr>
        <w:tc>
          <w:tcPr>
            <w:tcW w:w="3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A4"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Skew</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A5"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0.67</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A6"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2.72</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A7"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0.44</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A8"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0.85</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A9"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AA"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1.11</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AB"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1.60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AC"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1.25</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AD"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1.08</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AE"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-0.23</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AF"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-0.28</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B0"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-0.07</w:t>
            </w:r>
          </w:p>
        </w:tc>
      </w:tr>
      <w:tr w:rsidR="009B47CB" w14:paraId="0400A1BF" w14:textId="77777777">
        <w:trPr>
          <w:jc w:val="center"/>
        </w:trPr>
        <w:tc>
          <w:tcPr>
            <w:tcW w:w="3055"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1B2"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Kurtosis</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1B3"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1.05</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1B4"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8.79</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1B5"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1B6"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0.84</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1B7"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1.30</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1B8"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1.21</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1B9"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2.30</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1BA"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2.28</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1BB"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1BC"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-1.95</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1BD"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-1.05</w:t>
            </w:r>
          </w:p>
        </w:tc>
        <w:tc>
          <w:tcPr>
            <w:tcW w:w="6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1BE"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0.26</w:t>
            </w:r>
          </w:p>
        </w:tc>
      </w:tr>
      <w:tr w:rsidR="009B47CB" w14:paraId="0400A1C1" w14:textId="77777777">
        <w:trPr>
          <w:jc w:val="center"/>
        </w:trPr>
        <w:tc>
          <w:tcPr>
            <w:tcW w:w="12112" w:type="dxa"/>
            <w:gridSpan w:val="13"/>
            <w:tcBorders>
              <w:top w:val="single" w:sz="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0400A1C0"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w:t>
            </w:r>
          </w:p>
        </w:tc>
      </w:tr>
    </w:tbl>
    <w:p w14:paraId="0400A1C2" w14:textId="77777777" w:rsidR="009B47CB" w:rsidRDefault="009B47CB">
      <w:pPr>
        <w:sectPr w:rsidR="009B47CB">
          <w:pgSz w:w="16838" w:h="11906" w:orient="landscape"/>
          <w:pgMar w:top="1417" w:right="1417" w:bottom="1417" w:left="1417" w:header="708" w:footer="708" w:gutter="0"/>
          <w:cols w:space="708"/>
        </w:sectPr>
      </w:pPr>
    </w:p>
    <w:p w14:paraId="0400A1C3" w14:textId="77777777" w:rsidR="009B47CB" w:rsidRDefault="00AF1415">
      <w:pPr>
        <w:pStyle w:val="Heading3"/>
      </w:pPr>
      <w:bookmarkStart w:id="12" w:name="cognitive-measures"/>
      <w:bookmarkEnd w:id="11"/>
      <w:r>
        <w:lastRenderedPageBreak/>
        <w:t>Cognitive measures</w:t>
      </w:r>
    </w:p>
    <w:p w14:paraId="0400A1C4" w14:textId="77777777" w:rsidR="009B47CB" w:rsidRDefault="00AF1415">
      <w:r>
        <w:t>We programmed six cognitive tasks in jsPsych 7.3 (Leeuw, 2015)</w:t>
      </w:r>
      <w:r>
        <w:t>: two inhibition tasks, three attention shifting tasks, and one basic processing speed task. At the start of the session, participants entered fullscreen mode to avoid distractions from other browser tabs. The tasks were presented against a light-gray background. See Section 2 of the supplemental materials for information on condition manipulation checks, split-half reliability estimates, and bivariate correlations between tasks.</w:t>
      </w:r>
    </w:p>
    <w:p w14:paraId="0400A1C5" w14:textId="77777777" w:rsidR="009B47CB" w:rsidRDefault="00AF1415">
      <w:pPr>
        <w:pStyle w:val="BodyText"/>
      </w:pPr>
      <w:r>
        <w:rPr>
          <w:i/>
          <w:iCs/>
        </w:rPr>
        <w:t>Flanker Task.</w:t>
      </w:r>
      <w:r>
        <w:t xml:space="preserve"> This task measures inhibition of distractor interference (Eriksen &amp; Eriksen, 1974). On each trial, participants saw five arrows side-by-side horizontally, pointing either left or right. Their task was to indicate the direction of the central arrow. The arrows were randomly presented 300 pixels above or below the center of the screen. On 50% of the trials, all arrows pointed in the same direction (congruent trials). On the other half, the arrows surrounding the central arrow pointed in the opposite directio</w:t>
      </w:r>
      <w:r>
        <w:t>n (incongruent trials). Participants first completed eight practice trials, followed by two test blocks of 32 trials each, for a total of 64 trials.</w:t>
      </w:r>
    </w:p>
    <w:p w14:paraId="0400A1C6" w14:textId="77777777" w:rsidR="009B47CB" w:rsidRDefault="00AF1415">
      <w:pPr>
        <w:pStyle w:val="BodyText"/>
      </w:pPr>
      <w:r>
        <w:rPr>
          <w:i/>
          <w:iCs/>
        </w:rPr>
        <w:t>Simon Task.</w:t>
      </w:r>
      <w:r>
        <w:t xml:space="preserve"> This task measures inhibition of prepotent responses (Simon &amp; Wolf, 1963). On each trial, participants saw the word “LEFT” or “RIGHT” (printed in Dutch), presented either on the left or right side of the screen. Their task was to press the ‘A’ key if the word was “LEFT” and the ‘L’ key if the word was “RIGHT”, regardless of the location on the screen. On 50% of the trials, the word matched the location (e.g., the word “LEFT” presented on the left side; congruent trials). On the other half, the word did not</w:t>
      </w:r>
      <w:r>
        <w:t xml:space="preserve"> match the location (e.g., the word “LEFT” presented on the right side; incongruent trials). Participants first completed eight practice trials, followed by two test blocks of 32 trials each, for a total of 64 trials.</w:t>
      </w:r>
    </w:p>
    <w:p w14:paraId="0400A1C7" w14:textId="77777777" w:rsidR="009B47CB" w:rsidRDefault="00AF1415">
      <w:pPr>
        <w:pStyle w:val="BodyText"/>
      </w:pPr>
      <w:r>
        <w:rPr>
          <w:i/>
          <w:iCs/>
        </w:rPr>
        <w:lastRenderedPageBreak/>
        <w:t>Color-shape Task.</w:t>
      </w:r>
      <w:r>
        <w:t xml:space="preserve"> This task measures the ability to shift attention between different tasks (Miyake et al., 2000). On each trial, participants saw a square or a circle in the center of the screen. This square or circle was either blue or yellow. Depending on the task rule printed above the stimulus, their task was to classify the stimulus based on its shape or color. On 50% of the trials, the rule was the same as on the preceding trial (repeat trials). On the other half, the rule was different than on the preceding trial (s</w:t>
      </w:r>
      <w:r>
        <w:t>witch trials). The same stimulus was never presented more than twice in a row, and there were never more than three repeat or switch trials in a row. Participants first completed eight practice trials, followed by two test blocks of 32 trials each, for a total of 64 trials.</w:t>
      </w:r>
    </w:p>
    <w:p w14:paraId="0400A1C8" w14:textId="77777777" w:rsidR="009B47CB" w:rsidRDefault="00AF1415">
      <w:pPr>
        <w:pStyle w:val="BodyText"/>
      </w:pPr>
      <w:r>
        <w:rPr>
          <w:i/>
          <w:iCs/>
        </w:rPr>
        <w:t>Animacy-size Task.</w:t>
      </w:r>
      <w:r>
        <w:t xml:space="preserve"> This task measures the ability to shift attention between tasks (Arrington &amp; Logan, 2004). On each trial, participants saw a single noun (in Dutch) referring to an animal or object (adopted from Braem, 2017). Depending on the task rule presented on the screen, their task was to classify the noun based on whether it referred to a living or non-living thing (e.g., wasp vs. piano), or whether it referred to something that was smaller or larger than a soccer ball (e.g., ring vs. dolphin). On 50% of the trials,</w:t>
      </w:r>
      <w:r>
        <w:t xml:space="preserve"> the rule was the same as on the preceding trial (repeat trials). On the other half, the rule was different than on the preceding trial (switch trials). There were never more than three repeat or switch trials in a row. Participants first completed eight practice trials, followed by two test blocks of 32 trials each, for a total of 64 trials.</w:t>
      </w:r>
    </w:p>
    <w:p w14:paraId="0400A1C9" w14:textId="77777777" w:rsidR="009B47CB" w:rsidRDefault="00AF1415">
      <w:pPr>
        <w:pStyle w:val="BodyText"/>
      </w:pPr>
      <w:r>
        <w:rPr>
          <w:i/>
          <w:iCs/>
        </w:rPr>
        <w:t>Global-local Task.</w:t>
      </w:r>
      <w:r>
        <w:t xml:space="preserve"> This task measures the ability to shift attention between tasks. We adapted the stimuli from Huizinga et al. (2010). On each trial, participants saw a large square or rectangle composed of 16 small squares or rectangles. The stimulus was flanked on both side by a drawing of an elephant or mouse, which was presented 1,000 ms prior to the appearance of the </w:t>
      </w:r>
      <w:r>
        <w:lastRenderedPageBreak/>
        <w:t>stimulus. If the stimulus was flanked by the image of an elephant (50% of trials), participants had to indicate whether the global image was a square or r</w:t>
      </w:r>
      <w:r>
        <w:t>ectangle. If the stimulus was flanked by the image of a mouse (50% of trials), participants had to indicate whether the local images were squares or rectangles. On 50 % of the trials, the rule was the same as on the preceding trial (repeat trials). On the other half, the rule was different than on the preceding trial (switch trials). Finally, the stimuli were congruent on 50% of the trials (e.g., large square consisting of small squares) and incongruent on the other half (e.g., large square consisting of sm</w:t>
      </w:r>
      <w:r>
        <w:t>all rectangles). Congruency, task rule (switch vs. repeat), or focus (global vs. local) where never repeated more than three times in a row. Participants first completed eight practice trials, followed by two test blocks of 32 trials each, for a total of 64 trials.</w:t>
      </w:r>
    </w:p>
    <w:p w14:paraId="0400A1CA" w14:textId="77777777" w:rsidR="009B47CB" w:rsidRDefault="00AF1415">
      <w:pPr>
        <w:pStyle w:val="BodyText"/>
      </w:pPr>
      <w:r>
        <w:rPr>
          <w:i/>
          <w:iCs/>
        </w:rPr>
        <w:t>Posner Task.</w:t>
      </w:r>
      <w:r>
        <w:t xml:space="preserve"> This task measures basic speed of processing (Posner &amp; Mitchell, 1967). On each trial, participants saw two letters in the center of the screen, drawn from the set A, B, F, H, Q, a, b, f, h, and q. Their task was to indicate whether the letters were the same (e.g., “AA”, “bB”) or different (e.g., “AQ”, “Fh”). On 50% of the trials, the letters were the same, and on the other half they were different. Participants first completed eight practice trials, followed by two test blocks of 40 trials each, for a tot</w:t>
      </w:r>
      <w:r>
        <w:t>al of 80 trials.</w:t>
      </w:r>
    </w:p>
    <w:p w14:paraId="0400A1CB" w14:textId="77777777" w:rsidR="009B47CB" w:rsidRDefault="00AF1415">
      <w:pPr>
        <w:pStyle w:val="Heading2"/>
      </w:pPr>
      <w:bookmarkStart w:id="13" w:name="state-anxiety"/>
      <w:bookmarkEnd w:id="12"/>
      <w:bookmarkEnd w:id="9"/>
      <w:r>
        <w:t>State anxiety</w:t>
      </w:r>
    </w:p>
    <w:p w14:paraId="0400A1CC" w14:textId="77777777" w:rsidR="009B47CB" w:rsidRDefault="00AF1415">
      <w:r>
        <w:t>Participants reported their state anxiety after each cognitive task; thus, six times in total. We measured state anxiety using the shortened version of the State-Trait Anxiety Inventory (Bij et al., 2003; Marteau &amp; Bekker, 1992), which asks participants how calm, tense, upset, relaxed, content, and worried they currently feel, on a scale of 1 (“not al all”) to 4 (“very much”). We recoded (if necessary) and then summed the answers with higher scores reflecting more state anxiety.</w:t>
      </w:r>
    </w:p>
    <w:p w14:paraId="0400A1CD" w14:textId="77777777" w:rsidR="009B47CB" w:rsidRDefault="00AF1415">
      <w:pPr>
        <w:pStyle w:val="Heading2"/>
      </w:pPr>
      <w:bookmarkStart w:id="14" w:name="environmental-noise"/>
      <w:bookmarkEnd w:id="13"/>
      <w:r>
        <w:lastRenderedPageBreak/>
        <w:t>Environmental noise</w:t>
      </w:r>
    </w:p>
    <w:p w14:paraId="0400A1CE" w14:textId="77777777" w:rsidR="009B47CB" w:rsidRDefault="00AF1415">
      <w:r>
        <w:t xml:space="preserve">Participants reported the level of environmental noise after each cognitive task; thus, six times in total. </w:t>
      </w:r>
      <w:r>
        <w:t>We measured environmental noise using a single item, rated on a scale of 1 to 5: “How much noise was there in your environment during the game?”</w:t>
      </w:r>
    </w:p>
    <w:p w14:paraId="0400A1CF" w14:textId="77777777" w:rsidR="009B47CB" w:rsidRDefault="00AF1415">
      <w:pPr>
        <w:pStyle w:val="Heading3"/>
      </w:pPr>
      <w:bookmarkStart w:id="15" w:name="confounds"/>
      <w:r>
        <w:t>Confounds</w:t>
      </w:r>
    </w:p>
    <w:p w14:paraId="0400A1D0" w14:textId="77777777" w:rsidR="009B47CB" w:rsidRDefault="00AF1415">
      <w:r>
        <w:t>We used Directed Acyclic Graphs to identify potential confounds of the key estimands, which were the associations between self-reported threat and material deprivation in adulthood with cognitive outcomes. A Directed Acyclic Graph is a visual overview of assumptions about how variables are causally related. They are graphs consisting of nodes (variables) and directed arrows (causal pathways). An arrow between two variables represents the assumption that experimentally manipulating the variable at the origin</w:t>
      </w:r>
      <w:r>
        <w:t xml:space="preserve"> of the arrow will change the variable at the end of the arrow (but not the other way around). Directed Acyclic Graphs aid in the identification of variables that need to be adjusted for in the statistical models (i.e., confounders with arrows to both the main predictor and the outcome), and, equally importantly, which variables should not be adjusted for (i.e., colliders and mediators). For a detailed explanation, see Rohrer (2018).</w:t>
      </w:r>
    </w:p>
    <w:p w14:paraId="0400A1D1" w14:textId="77777777" w:rsidR="009B47CB" w:rsidRDefault="00AF1415">
      <w:pPr>
        <w:pStyle w:val="BodyText"/>
      </w:pPr>
      <w:r>
        <w:t>The set of potential confounders consisted of (1) age (Salthouse, 2016, 2019; Starns &amp; Ratcliff, 2010); (2) education (Hofmarcher, 2021); (3) sex (Ning et al., 2023); (4) childhood adversity exposure (material deprivation and threat combined) (Bos et al., 2009; Goodman et al., 2019); and (5) potential causal relations between recent material deprivation and recent threat (Bywaters et al., 2016; Lacey et al., 2022; Ning et al., 2023). We made these decisions based on previous literature, or, in cases of doub</w:t>
      </w:r>
      <w:r>
        <w:t xml:space="preserve">t, by statistically testing support for specific relations using data from a previous LISS study (Vermeent, Schubert, DeJoseph, et al., 2024). Specifically, following our preregistration, we used the </w:t>
      </w:r>
      <w:r>
        <w:rPr>
          <w:i/>
          <w:iCs/>
        </w:rPr>
        <w:t>dagitty</w:t>
      </w:r>
      <w:r>
        <w:t xml:space="preserve"> R package (Ankan et al., 2021; Textor et al., 2016) to test whether independencies between specific variables implied by the Directed Acyclic </w:t>
      </w:r>
      <w:r>
        <w:lastRenderedPageBreak/>
        <w:t>Graph (conditional on the other causal pathways) were supported by these data (see the preregistration for more details).</w:t>
      </w:r>
    </w:p>
    <w:p w14:paraId="0400A1D2" w14:textId="77777777" w:rsidR="009B47CB" w:rsidRDefault="00AF1415">
      <w:pPr>
        <w:pStyle w:val="BodyText"/>
      </w:pPr>
      <w:r>
        <w:t>Figure 1 depicts the final preregistered Directed Acyclic Graph for material deprivation and threat exposure in adulthood. For threat exposure in adulthood, our statistical model controlled for age, sex, childhood adversity, and recent material deprivation. We included material deprivation in adulthood based on studies showing that material deprivation tends to precede exposure to adversities such as threat (Bywaters et al., 2016; Lacey et al., 2022; Ning et al., 2023). We did not control for education give</w:t>
      </w:r>
      <w:r>
        <w:t>n a lack of theoretical and statistical support for this effect (see preregistration). To explore the effect of our assumption that material deprivation tends to precede threat, we also present a secondary model excluding material deprivation in adulthood as a confound. As preregistered, we will not base our main conclusions on this secondary model.</w:t>
      </w:r>
    </w:p>
    <w:p w14:paraId="0400A1D3" w14:textId="77777777" w:rsidR="009B47CB" w:rsidRDefault="00AF1415">
      <w:pPr>
        <w:pStyle w:val="BodyText"/>
      </w:pPr>
      <w:r>
        <w:t>For material deprivation in adulthood, our primary statistical model controlled for age, education, sex, and childhood adversity exposure based on previous studies (see above). We did not control for threat exposure in adulthood, as, following the Directed Acyclic Graph, we assume that threat exposure mediates the effect of recent material deprivation on cognitive processes. If true, including threat exposure in the model would make the association between material deprivation and cognitive processes an ind</w:t>
      </w:r>
      <w:r>
        <w:t>irect effect, rather than a total effect (which was our estimand). To explore the effect of our assumption that threat mediates the effect of material deprivation on cognitive processes, we also present a secondary model that includes threat in adulthood as a confound. As preregistered, we will not base our main conclusions on this secondary model.</w:t>
      </w:r>
    </w:p>
    <w:p w14:paraId="0400A1D4" w14:textId="77777777" w:rsidR="009B47CB" w:rsidRDefault="00AF1415">
      <w:r>
        <w:rPr>
          <w:noProof/>
        </w:rPr>
        <w:lastRenderedPageBreak/>
        <w:drawing>
          <wp:inline distT="0" distB="0" distL="0" distR="0" wp14:anchorId="0400A2D7" wp14:editId="0400A2D8">
            <wp:extent cx="5486400" cy="4811150"/>
            <wp:effectExtent l="0" t="0" r="0" b="0"/>
            <wp:docPr id="39" name="Picture" descr="Figure 2. Direct Acyclic Graphs (DAG) depicting our causal assumptions about the main estimands. the rectangles (nodes) depict variables, and directed arrows depict assumed causal pathways. An arrow between two variables represents the assumption that experimentally manipulating the variable at the origin of the arrow will change the variable at the end of the arrow (but not the other way around). The statistical models control for confounding variables (depicted as dashed paths), which have an arrow both to the independent variable and the dependent variable."/>
            <wp:cNvGraphicFramePr/>
            <a:graphic xmlns:a="http://schemas.openxmlformats.org/drawingml/2006/main">
              <a:graphicData uri="http://schemas.openxmlformats.org/drawingml/2006/picture">
                <pic:pic xmlns:pic="http://schemas.openxmlformats.org/drawingml/2006/picture">
                  <pic:nvPicPr>
                    <pic:cNvPr id="40" name="Picture" descr="figures/fig2.png"/>
                    <pic:cNvPicPr>
                      <a:picLocks noChangeAspect="1" noChangeArrowheads="1"/>
                    </pic:cNvPicPr>
                  </pic:nvPicPr>
                  <pic:blipFill>
                    <a:blip r:embed="rId13"/>
                    <a:stretch>
                      <a:fillRect/>
                    </a:stretch>
                  </pic:blipFill>
                  <pic:spPr bwMode="auto">
                    <a:xfrm>
                      <a:off x="0" y="0"/>
                      <a:ext cx="5486400" cy="4811150"/>
                    </a:xfrm>
                    <a:prstGeom prst="rect">
                      <a:avLst/>
                    </a:prstGeom>
                    <a:noFill/>
                    <a:ln w="9525">
                      <a:noFill/>
                      <a:headEnd/>
                      <a:tailEnd/>
                    </a:ln>
                  </pic:spPr>
                </pic:pic>
              </a:graphicData>
            </a:graphic>
          </wp:inline>
        </w:drawing>
      </w:r>
    </w:p>
    <w:p w14:paraId="0400A1D5" w14:textId="77777777" w:rsidR="009B47CB" w:rsidRDefault="00AF1415">
      <w:pPr>
        <w:pStyle w:val="ImageCaption"/>
      </w:pPr>
      <w:r>
        <w:rPr>
          <w:b/>
          <w:bCs/>
        </w:rPr>
        <w:t>Figure 2.</w:t>
      </w:r>
      <w:r>
        <w:t xml:space="preserve"> Direct Acyclic Graphs (DAG) depicting our causal assumptions about the main estimands. the rectangles (nodes) depict variables, and directed arrows depict assumed causal pathways. An arrow between two variables represents the assumption that experimentally manipulating the variable at the origin of the arrow will change the variable at the end of the arrow (but not the other way around). The statistical models control for confounding variables (depicted as dashed paths), which have an arrow both to the ind</w:t>
      </w:r>
      <w:r>
        <w:t>ependent variable and the dependent variable.</w:t>
      </w:r>
    </w:p>
    <w:p w14:paraId="0400A1D6" w14:textId="77777777" w:rsidR="009B47CB" w:rsidRDefault="009B47CB">
      <w:pPr>
        <w:pStyle w:val="BodyText"/>
      </w:pPr>
    </w:p>
    <w:p w14:paraId="0400A1D7" w14:textId="77777777" w:rsidR="009B47CB" w:rsidRDefault="00AF1415">
      <w:pPr>
        <w:pStyle w:val="Heading2"/>
      </w:pPr>
      <w:bookmarkStart w:id="16" w:name="procedure"/>
      <w:bookmarkEnd w:id="15"/>
      <w:bookmarkEnd w:id="14"/>
      <w:r>
        <w:t>Procedure</w:t>
      </w:r>
    </w:p>
    <w:p w14:paraId="0400A1D8" w14:textId="77777777" w:rsidR="009B47CB" w:rsidRDefault="00AF1415">
      <w:r>
        <w:t xml:space="preserve">We obtained ethical approval from the Ethics Review Board of the Faculty of Social &amp; Behavioral Sciences of Utrecht University (FETC20-490) and the Ethics committee for research in the Sciences and Life Sciences of the University of Amsterdam (FNWI-41_2023). The study </w:t>
      </w:r>
      <w:r>
        <w:lastRenderedPageBreak/>
        <w:t xml:space="preserve">was implemented on the LISS platform, and participants could only complete the study on a laptop or desktop PC. Participants started with the six cognitive tasks, in randomized order. After each task, they indicated their state anxiety and the level of environmental noise. Then, participants had the option to either continue to the next task or complete the other tasks at a later point in time. 86 % of participants completed all tasks in a single session, and 14 % of participants took two or more sessions. </w:t>
      </w:r>
      <w:r>
        <w:t>Jointly, the cognitive tasks took around 25 minutes to complete. After finishing all cognitive tasks, participants completed questionnaires about neighborhood threat and material deprivation during childhood and, adulthood exposure to crime victimization in the past two years. They also completed questionnaires on impulsivity, self-control, and future orientation, which are not considered here because they fall outside of the scope of the present study. As some participants had already completed all of thes</w:t>
      </w:r>
      <w:r>
        <w:t>e questionnaires in a different data collection (about six months prior to the current study), we only presented the questionnaires to new participants. Finally, all participants answered a few standard LISS evaluation questions about the study, giving them an opportunity to provide written feedback.</w:t>
      </w:r>
    </w:p>
    <w:p w14:paraId="0400A1D9" w14:textId="77777777" w:rsidR="009B47CB" w:rsidRDefault="00AF1415">
      <w:pPr>
        <w:pStyle w:val="Heading2"/>
      </w:pPr>
      <w:bookmarkStart w:id="17" w:name="analysis-plan"/>
      <w:bookmarkEnd w:id="16"/>
      <w:r>
        <w:t>Analysis plan</w:t>
      </w:r>
    </w:p>
    <w:p w14:paraId="0400A1DA" w14:textId="77777777" w:rsidR="009B47CB" w:rsidRDefault="00AF1415">
      <w:pPr>
        <w:pStyle w:val="Heading3"/>
      </w:pPr>
      <w:bookmarkStart w:id="18" w:name="data-cleaning"/>
      <w:r>
        <w:t>Data cleaning</w:t>
      </w:r>
    </w:p>
    <w:p w14:paraId="0400A1DB" w14:textId="77777777" w:rsidR="009B47CB" w:rsidRDefault="00AF1415">
      <w:r>
        <w:t>For all tasks, we first removed any response times &gt; 10 seconds. This step was not preregistered but was necessary given that we did not specify a response time-out. Consequently, a small portion of response times lasted up to several minutes, likely reflecting breaks or interruptions (between 0.02 % and 0.25 % for all tasks). We removed these first to prevent them from biasing our preregistered exclusion of outliers. Next, we applied two preregistered exclusion criteria. First, we removed trials with respo</w:t>
      </w:r>
      <w:r>
        <w:t xml:space="preserve">nse times &lt; 250 ms and trials with response times more than 3.2 SD above the intra-individual log-transformed mean response time. Second, if </w:t>
      </w:r>
      <w:r>
        <w:lastRenderedPageBreak/>
        <w:t>participants performed at chance level on a particular task, we excluded the data for that task only. We set the cut-off for chance performance based on accuracy at the 97.5 % tail of the binomial distribution one would obtain if guessing.</w:t>
      </w:r>
    </w:p>
    <w:p w14:paraId="0400A1DC" w14:textId="77777777" w:rsidR="009B47CB" w:rsidRDefault="00AF1415">
      <w:pPr>
        <w:pStyle w:val="Heading3"/>
      </w:pPr>
      <w:bookmarkStart w:id="19" w:name="ddm-estimation"/>
      <w:bookmarkEnd w:id="18"/>
      <w:r>
        <w:t>DDM estimation</w:t>
      </w:r>
    </w:p>
    <w:p w14:paraId="0400A1DD" w14:textId="77777777" w:rsidR="009B47CB" w:rsidRDefault="00AF1415">
      <w:r>
        <w:t>We used a Hierarchical Bayesian implementation of the DDM (Vandekerckhove et al., 2011; Wiecki et al., 2013) to leverage group-level information for individual parameter estimation. We applied this model to each task separately. For the Posner Task, we estimated a single drift rate, boundary separation, and non-decision time for each participant. For the other five tasks, we estimated drift rates, boundary separation, and non-decision times separately for congruent (repeat) and incongruent (switch) trials.</w:t>
      </w:r>
    </w:p>
    <w:p w14:paraId="0400A1DE" w14:textId="77777777" w:rsidR="009B47CB" w:rsidRDefault="00AF1415">
      <w:pPr>
        <w:pStyle w:val="BodyText"/>
      </w:pPr>
      <w:r>
        <w:t xml:space="preserve">The DDM models were fit using the </w:t>
      </w:r>
      <w:r>
        <w:rPr>
          <w:i/>
          <w:iCs/>
        </w:rPr>
        <w:t>runjags</w:t>
      </w:r>
      <w:r>
        <w:t xml:space="preserve"> package (Denwood, 2016). We fit each model with three Markov Chain Monte Carlo chains. We used 2,000 burn-in samples and 10,000 additional samples, retaining every 10th sample, resulting in a total of 3,000 posterior samples. Model convergence and fit was good across all DDM models (see section 3 of the supplemental materials).</w:t>
      </w:r>
    </w:p>
    <w:p w14:paraId="0400A1DF" w14:textId="77777777" w:rsidR="009B47CB" w:rsidRDefault="00AF1415">
      <w:pPr>
        <w:pStyle w:val="BodyText"/>
      </w:pPr>
      <w:r>
        <w:t>We accounted for two potential sources of measurement error in the DDM estimates: (1) the level of environmental noise and (2) within-participant differences from mean state anxiety between the tasks (see above). We used linear regression to residualize the variance of noise and anxiety out of all the drift diffusion estimates. See Section 4 of the supplemental materials for more information.</w:t>
      </w:r>
    </w:p>
    <w:p w14:paraId="0400A1E0" w14:textId="77777777" w:rsidR="009B47CB" w:rsidRDefault="00AF1415">
      <w:pPr>
        <w:pStyle w:val="Heading3"/>
      </w:pPr>
      <w:bookmarkStart w:id="20" w:name="structural-equation-modeling"/>
      <w:bookmarkEnd w:id="19"/>
      <w:r>
        <w:t>Structural equation modeling</w:t>
      </w:r>
    </w:p>
    <w:p w14:paraId="0400A1E1" w14:textId="77777777" w:rsidR="009B47CB" w:rsidRDefault="00AF1415">
      <w:r>
        <w:t xml:space="preserve">We constructed the full structural equation model sequentially. First, we optimized the fit of the drift rate, boundary separation, and non-decision time sub-models. Second, we combined </w:t>
      </w:r>
      <w:r>
        <w:lastRenderedPageBreak/>
        <w:t>these three models into a single measurement model. Third, we added the regression paths between measures of adversity in adulthood and the latent factors. To assess goodness-of-fit, we used the root mean square error of approximation (RMSEA) and the comparative fit index (CFI). CFI values &gt; 0.90 (&gt; 0.95) and RMSEA values &lt; 0.08 (≤ 0.06) were interpreted as acceptable (good) fit.</w:t>
      </w:r>
    </w:p>
    <w:p w14:paraId="0400A1E2" w14:textId="77777777" w:rsidR="009B47CB" w:rsidRDefault="00AF1415">
      <w:pPr>
        <w:pStyle w:val="BodyText"/>
      </w:pPr>
      <w:r>
        <w:t>Each DDM parameter sub-model was a bi-factor model including the parameter estimates of all tasks as manifest variables. We estimated a general factor accounting for variance in all manifest variables. A second ability-specific inhibition factor loaded on the parameter estimates of incongruent trials of the Flanker and Simon tasks. A third specific attention shifting factor loaded on the parameter estimates of switch trials of the Color-shape, Global-local, and Animacy-size tasks. These two factors were all</w:t>
      </w:r>
      <w:r>
        <w:t>owed to covary. We also estimated covariances between the conditions of each task. For each sub-model, we compared the fit of this initial model to a version with a common EF factor loading on incongruent/switch trials of all tasks. We deemed the second model a better fit when we observed a significant chi squared change test and an AIC value difference &gt; 10.</w:t>
      </w:r>
    </w:p>
    <w:p w14:paraId="0400A1E3" w14:textId="77777777" w:rsidR="009B47CB" w:rsidRDefault="00AF1415">
      <w:pPr>
        <w:pStyle w:val="BodyText"/>
      </w:pPr>
      <w:r>
        <w:t>For the drift rate model, we interpreted the general factor as basic speed of processing, and the ability-specific factors as reflecting inhibition and attention-shifting ability (or common EF in the case of the second model). For the boundary separation and non-decision time models, we interpreted the general factor as general response caution/speed of non-decision processes, and the ability-specific factors as reflecting response caution/speed of non-decision processes specific to conflict trials.</w:t>
      </w:r>
    </w:p>
    <w:p w14:paraId="0400A1E4" w14:textId="77777777" w:rsidR="009B47CB" w:rsidRDefault="00AF1415">
      <w:pPr>
        <w:pStyle w:val="BodyText"/>
      </w:pPr>
      <w:r>
        <w:t xml:space="preserve">After optimizing each sub-model, we combined them into a joint measurement model. We allowed the general latent factors (processing speed, general caution, and general non-decision </w:t>
      </w:r>
      <w:r>
        <w:lastRenderedPageBreak/>
        <w:t>time) to covary, as well as the ability-specific latent factors (separately for inhibition and attention shifting, unless a common factor was favored).</w:t>
      </w:r>
    </w:p>
    <w:p w14:paraId="0400A1E5" w14:textId="77777777" w:rsidR="009B47CB" w:rsidRDefault="00AF1415">
      <w:pPr>
        <w:pStyle w:val="BodyText"/>
      </w:pPr>
      <w:r>
        <w:t>Finally, we constructed two versions of the final model, one to estimate the association between material deprivation in adulthood and the outcome measures, and one to estimate the association between threat exposure in adulthood and the outcome measures. In both models, we regressed the adversity measure on each latent factor, together with the control variables (see the section on confounds for more details). We report indirect effects of control variables in the supplemental materials (section 5).</w:t>
      </w:r>
    </w:p>
    <w:p w14:paraId="0400A1E6" w14:textId="77777777" w:rsidR="009B47CB" w:rsidRDefault="00AF1415">
      <w:pPr>
        <w:pStyle w:val="Heading3"/>
      </w:pPr>
      <w:bookmarkStart w:id="21" w:name="inferential-criteria"/>
      <w:bookmarkEnd w:id="20"/>
      <w:r>
        <w:t>Inferential criteria</w:t>
      </w:r>
    </w:p>
    <w:p w14:paraId="0400A1E7" w14:textId="77777777" w:rsidR="009B47CB" w:rsidRDefault="00AF1415">
      <w:r>
        <w:t xml:space="preserve">We tested for three types of associations between different types of adversity with EF ability and processing speed (as indexed by drift rates): enhancements, impairments, or practical equivalence. We defined enhancements as a positive association between adversity and drift rates. We defined impairments as a negative association between adversity and drift rate. We defined practical equivalence as standardized regression coefficients that significantly fell between -0.10 and 0.10. We tested this using the </w:t>
      </w:r>
      <w:r>
        <w:t xml:space="preserve">Two One-Sided T-tests procedure (Lakens et al., 2018). This test evaluates whether the obtained effect is significantly larger than the lower bound </w:t>
      </w:r>
      <w:r>
        <w:rPr>
          <w:i/>
          <w:iCs/>
        </w:rPr>
        <w:t>and</w:t>
      </w:r>
      <w:r>
        <w:t xml:space="preserve"> significantly smaller than the upper bound. Thus, it affords conclusions about practical equivalence based on significant </w:t>
      </w:r>
      <w:r>
        <w:rPr>
          <w:i/>
          <w:iCs/>
        </w:rPr>
        <w:t>p</w:t>
      </w:r>
      <w:r>
        <w:t>-values, rather than (invalidly) inferring the absence of an effect on the basis of non-significant results.</w:t>
      </w:r>
    </w:p>
    <w:p w14:paraId="0400A1E8" w14:textId="77777777" w:rsidR="009B47CB" w:rsidRDefault="00AF1415">
      <w:pPr>
        <w:pStyle w:val="Heading2"/>
      </w:pPr>
      <w:bookmarkStart w:id="22" w:name="transparency-and-openness"/>
      <w:bookmarkEnd w:id="21"/>
      <w:bookmarkEnd w:id="17"/>
      <w:r>
        <w:t>Transparency and openness</w:t>
      </w:r>
    </w:p>
    <w:p w14:paraId="0400A1E9" w14:textId="77777777" w:rsidR="009B47CB" w:rsidRDefault="00AF1415">
      <w:r>
        <w:t>We have reported how we determined our sample size, all data exclusions, and all measures in the study. The preregistration, analysis code, and study materials, can be found on the article’s GitHub repository (</w:t>
      </w:r>
      <w:hyperlink r:id="rId14">
        <w:r>
          <w:rPr>
            <w:rStyle w:val="Hyperlink"/>
          </w:rPr>
          <w:t>https://anonymous.4open.science/w/liss_ef_anon/</w:t>
        </w:r>
      </w:hyperlink>
      <w:r>
        <w:t xml:space="preserve">). The newly </w:t>
      </w:r>
      <w:r>
        <w:lastRenderedPageBreak/>
        <w:t>collected data will be available for other researchers in the LISS data archive, after signing a data use agreement (https://lissdata.nl). For more information on the LISS variables used, see the article’s GitHub repository (</w:t>
      </w:r>
      <w:hyperlink r:id="rId15">
        <w:r>
          <w:rPr>
            <w:rStyle w:val="Hyperlink"/>
          </w:rPr>
          <w:t>https://anonymous.4open.science/w/liss_ef_anon/</w:t>
        </w:r>
      </w:hyperlink>
      <w:r>
        <w:t>). Our study complies with Level 2 of the Transparency and Openness Promotion (TOP) guidelines.</w:t>
      </w:r>
    </w:p>
    <w:p w14:paraId="0400A1EA" w14:textId="77777777" w:rsidR="009B47CB" w:rsidRDefault="00AF1415">
      <w:pPr>
        <w:pStyle w:val="Heading1"/>
      </w:pPr>
      <w:bookmarkStart w:id="23" w:name="results"/>
      <w:bookmarkEnd w:id="22"/>
      <w:bookmarkEnd w:id="7"/>
      <w:r>
        <w:t>Results</w:t>
      </w:r>
    </w:p>
    <w:p w14:paraId="0400A1EB" w14:textId="77777777" w:rsidR="009B47CB" w:rsidRDefault="00AF1415">
      <w:pPr>
        <w:pStyle w:val="Heading3"/>
      </w:pPr>
      <w:bookmarkStart w:id="24" w:name="structural-equation-model-fit"/>
      <w:r>
        <w:t>Structural equation model fit</w:t>
      </w:r>
    </w:p>
    <w:p w14:paraId="0400A1EC" w14:textId="77777777" w:rsidR="009B47CB" w:rsidRDefault="00AF1415">
      <w:r>
        <w:t>As preregistered, we started with optimizing fit in structural equation models for each DDM parameter separately before combining them all into a single model. For drift rates, we selected the model containing a general processing speed factor (loading on all drift rates) and a common EF factor (loading only on drift rates of incongruent and switch conditions). An alternative model with a separate inhibition and attention shifting factor did not converge. The model with a common EF factor provided a good fi</w:t>
      </w:r>
      <w:r>
        <w:t>t to the data (CFI = 0.98, RMSEA = 0.04 [0.03, 0.05]). However, the loadings of the common EF factor were small and in opposing directions, and the latent factor’s residual variance was non-significant. Therefore, we did not estimate associations between adversity and common EF.</w:t>
      </w:r>
    </w:p>
    <w:p w14:paraId="0400A1ED" w14:textId="77777777" w:rsidR="009B47CB" w:rsidRDefault="00AF1415">
      <w:pPr>
        <w:pStyle w:val="BodyText"/>
      </w:pPr>
      <w:r>
        <w:t>For both boundary separation and non-decision time, we selected a model containing only a general factor (loading on all boundary separations/non-decision times), which provided a good fit to the data (boundary separation: CFI = 0.98, RMSEA = 0.05 [0.04, 0.06]; non-decision time: CFI = 0.98, RMSEA = 0.04 [0.03, 0.05]). The two preregistered models specifying additional latent factors loading only on switching/incongruent conditions did not converge.</w:t>
      </w:r>
    </w:p>
    <w:p w14:paraId="0400A1EE" w14:textId="77777777" w:rsidR="009B47CB" w:rsidRDefault="00AF1415">
      <w:pPr>
        <w:pStyle w:val="BodyText"/>
      </w:pPr>
      <w:r>
        <w:t xml:space="preserve">The final model combining all three DDM parameters provided a good fit, although it required the addition of covariances between residual variances of manifest DDM parameters of </w:t>
      </w:r>
      <w:r>
        <w:lastRenderedPageBreak/>
        <w:t>the same task (reflecting shared method variance), CFI = 0.96, RMSEA = 0.04 [0.04, 0.05]. See Figure 3 for a visualization and Table 3 for fit statistics of all models.</w:t>
      </w:r>
    </w:p>
    <w:p w14:paraId="0400A1EF" w14:textId="77777777" w:rsidR="009B47CB" w:rsidRDefault="009B47CB">
      <w:pPr>
        <w:sectPr w:rsidR="009B47CB">
          <w:pgSz w:w="12240" w:h="15840"/>
          <w:pgMar w:top="1417" w:right="1417" w:bottom="1417" w:left="1417" w:header="708" w:footer="708" w:gutter="0"/>
          <w:cols w:space="708"/>
        </w:sectPr>
      </w:pPr>
    </w:p>
    <w:p w14:paraId="0400A1F0" w14:textId="77777777" w:rsidR="009B47CB" w:rsidRDefault="00AF1415">
      <w:r>
        <w:rPr>
          <w:noProof/>
        </w:rPr>
        <w:lastRenderedPageBreak/>
        <w:drawing>
          <wp:inline distT="0" distB="0" distL="0" distR="0" wp14:anchorId="0400A2D9" wp14:editId="0400A2DA">
            <wp:extent cx="5943600" cy="2800282"/>
            <wp:effectExtent l="0" t="0" r="0" b="0"/>
            <wp:docPr id="53" name="Picture" descr="Figure 3. Final measurement model of the Drift Diffusion parameters. Rectangles depict manifest parameter estimates, elipses depict latent factors, unidirectional arrows depict factor loadings, and bidirectional arrows depict correlations. Latent factors with non-significant residual variances are greyed out. a = manifest boundary separation, AS = Attention-shifting task, CS = Color-shape task, GL = Global-local task, Fl = Flanker task, Sm = Simon task, t = manifest non-decision time, v = manifest drift rate."/>
            <wp:cNvGraphicFramePr/>
            <a:graphic xmlns:a="http://schemas.openxmlformats.org/drawingml/2006/main">
              <a:graphicData uri="http://schemas.openxmlformats.org/drawingml/2006/picture">
                <pic:pic xmlns:pic="http://schemas.openxmlformats.org/drawingml/2006/picture">
                  <pic:nvPicPr>
                    <pic:cNvPr id="54" name="Picture" descr="figures/fig3.png"/>
                    <pic:cNvPicPr>
                      <a:picLocks noChangeAspect="1" noChangeArrowheads="1"/>
                    </pic:cNvPicPr>
                  </pic:nvPicPr>
                  <pic:blipFill>
                    <a:blip r:embed="rId16"/>
                    <a:stretch>
                      <a:fillRect/>
                    </a:stretch>
                  </pic:blipFill>
                  <pic:spPr bwMode="auto">
                    <a:xfrm>
                      <a:off x="0" y="0"/>
                      <a:ext cx="5943600" cy="2800282"/>
                    </a:xfrm>
                    <a:prstGeom prst="rect">
                      <a:avLst/>
                    </a:prstGeom>
                    <a:noFill/>
                    <a:ln w="9525">
                      <a:noFill/>
                      <a:headEnd/>
                      <a:tailEnd/>
                    </a:ln>
                  </pic:spPr>
                </pic:pic>
              </a:graphicData>
            </a:graphic>
          </wp:inline>
        </w:drawing>
      </w:r>
    </w:p>
    <w:p w14:paraId="0400A1F1" w14:textId="77777777" w:rsidR="009B47CB" w:rsidRDefault="00AF1415">
      <w:pPr>
        <w:pStyle w:val="ImageCaption"/>
      </w:pPr>
      <w:r>
        <w:rPr>
          <w:b/>
          <w:bCs/>
        </w:rPr>
        <w:t>Figure 3.</w:t>
      </w:r>
      <w:r>
        <w:t xml:space="preserve"> </w:t>
      </w:r>
      <w:r>
        <w:t xml:space="preserve">Final measurement model of the Drift Diffusion parameters. Rectangles depict manifest parameter estimates, elipses depict latent factors, unidirectional arrows depict factor loadings, and bidirectional arrows depict correlations. Latent factors with non-significant residual variances are greyed out. </w:t>
      </w:r>
      <w:r>
        <w:rPr>
          <w:i/>
          <w:iCs/>
        </w:rPr>
        <w:t>a</w:t>
      </w:r>
      <w:r>
        <w:t xml:space="preserve"> = manifest boundary separation, AS = Attention-shifting task, CS = Color-shape task, GL = Global-local task, Fl = Flanker task, Sm = Simon task, </w:t>
      </w:r>
      <w:r>
        <w:rPr>
          <w:i/>
          <w:iCs/>
        </w:rPr>
        <w:t>t</w:t>
      </w:r>
      <w:r>
        <w:t xml:space="preserve"> = manifest non-decision time, </w:t>
      </w:r>
      <w:r>
        <w:rPr>
          <w:i/>
          <w:iCs/>
        </w:rPr>
        <w:t>v</w:t>
      </w:r>
      <w:r>
        <w:t xml:space="preserve"> = manifest drift rate.</w:t>
      </w:r>
    </w:p>
    <w:p w14:paraId="0400A1F2" w14:textId="77777777" w:rsidR="009B47CB" w:rsidRDefault="009B47CB">
      <w:pPr>
        <w:sectPr w:rsidR="009B47CB">
          <w:pgSz w:w="16838" w:h="11906" w:orient="landscape"/>
          <w:pgMar w:top="1417" w:right="1417" w:bottom="1417" w:left="1417" w:header="708" w:footer="708" w:gutter="0"/>
          <w:cols w:space="708"/>
        </w:sectPr>
      </w:pPr>
    </w:p>
    <w:tbl>
      <w:tblPr>
        <w:tblW w:w="0" w:type="auto"/>
        <w:jc w:val="center"/>
        <w:tblLayout w:type="fixed"/>
        <w:tblLook w:val="0420" w:firstRow="1" w:lastRow="0" w:firstColumn="0" w:lastColumn="0" w:noHBand="0" w:noVBand="1"/>
      </w:tblPr>
      <w:tblGrid>
        <w:gridCol w:w="3183"/>
        <w:gridCol w:w="2282"/>
        <w:gridCol w:w="1209"/>
        <w:gridCol w:w="1643"/>
      </w:tblGrid>
      <w:tr w:rsidR="009B47CB" w14:paraId="0400A1F4" w14:textId="77777777">
        <w:trPr>
          <w:tblHeader/>
          <w:jc w:val="center"/>
        </w:trPr>
        <w:tc>
          <w:tcPr>
            <w:tcW w:w="8317" w:type="dxa"/>
            <w:gridSpan w:val="4"/>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1F3"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b/>
                <w:color w:val="000000"/>
                <w:sz w:val="20"/>
                <w:szCs w:val="20"/>
              </w:rPr>
              <w:lastRenderedPageBreak/>
              <w:t xml:space="preserve">Table 3. </w:t>
            </w:r>
            <w:r>
              <w:rPr>
                <w:rFonts w:ascii="Times" w:eastAsia="Arial" w:hAnsi="Arial" w:cs="Arial"/>
                <w:color w:val="000000"/>
                <w:sz w:val="20"/>
                <w:szCs w:val="20"/>
              </w:rPr>
              <w:t>Fit statistics of all preregistered structural equation models.</w:t>
            </w:r>
          </w:p>
        </w:tc>
      </w:tr>
      <w:tr w:rsidR="009B47CB" w14:paraId="0400A1F9" w14:textId="77777777">
        <w:trPr>
          <w:tblHeader/>
          <w:jc w:val="center"/>
        </w:trPr>
        <w:tc>
          <w:tcPr>
            <w:tcW w:w="318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1F5"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Model</w:t>
            </w:r>
          </w:p>
        </w:tc>
        <w:tc>
          <w:tcPr>
            <w:tcW w:w="228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1F6"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Chi square</w:t>
            </w:r>
          </w:p>
        </w:tc>
        <w:tc>
          <w:tcPr>
            <w:tcW w:w="1209"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1F7"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Robust CFI</w:t>
            </w:r>
          </w:p>
        </w:tc>
        <w:tc>
          <w:tcPr>
            <w:tcW w:w="164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1F8"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Robust RMSEA</w:t>
            </w:r>
          </w:p>
        </w:tc>
      </w:tr>
      <w:tr w:rsidR="009B47CB" w14:paraId="0400A1FE" w14:textId="77777777">
        <w:trPr>
          <w:jc w:val="center"/>
        </w:trPr>
        <w:tc>
          <w:tcPr>
            <w:tcW w:w="318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FA"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b/>
                <w:color w:val="000000"/>
                <w:sz w:val="20"/>
                <w:szCs w:val="20"/>
              </w:rPr>
            </w:pPr>
            <w:r>
              <w:rPr>
                <w:rFonts w:ascii="Times" w:eastAsia="Arial" w:hAnsi="Arial" w:cs="Arial"/>
                <w:b/>
                <w:color w:val="000000"/>
                <w:sz w:val="20"/>
                <w:szCs w:val="20"/>
              </w:rPr>
              <w:t>Measurement models</w:t>
            </w:r>
          </w:p>
        </w:tc>
        <w:tc>
          <w:tcPr>
            <w:tcW w:w="2282"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FB"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209"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FC"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64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FD"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9B47CB" w14:paraId="0400A201"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1FF"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Drift rate model 1</w:t>
            </w:r>
          </w:p>
        </w:tc>
        <w:tc>
          <w:tcPr>
            <w:tcW w:w="5134"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00"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Model did not converge</w:t>
            </w:r>
          </w:p>
        </w:tc>
      </w:tr>
      <w:tr w:rsidR="009B47CB" w14:paraId="0400A206"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02"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Drift rate model 1</w:t>
            </w:r>
          </w:p>
        </w:tc>
        <w:tc>
          <w:tcPr>
            <w:tcW w:w="22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03"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125.42 (45), p &lt; .001</w:t>
            </w:r>
          </w:p>
        </w:tc>
        <w:tc>
          <w:tcPr>
            <w:tcW w:w="1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04"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0.98</w:t>
            </w:r>
          </w:p>
        </w:tc>
        <w:tc>
          <w:tcPr>
            <w:tcW w:w="16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05"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[0.03, 0.05]</w:t>
            </w:r>
          </w:p>
        </w:tc>
      </w:tr>
      <w:tr w:rsidR="009B47CB" w14:paraId="0400A209"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07"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Boundary separation model 1</w:t>
            </w:r>
          </w:p>
        </w:tc>
        <w:tc>
          <w:tcPr>
            <w:tcW w:w="5134"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08"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Model did not converge</w:t>
            </w:r>
          </w:p>
        </w:tc>
      </w:tr>
      <w:tr w:rsidR="009B47CB" w14:paraId="0400A20C"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0A"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Boundary separation model 2</w:t>
            </w:r>
          </w:p>
        </w:tc>
        <w:tc>
          <w:tcPr>
            <w:tcW w:w="5134"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0B"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Model did not converge</w:t>
            </w:r>
          </w:p>
        </w:tc>
      </w:tr>
      <w:tr w:rsidR="009B47CB" w14:paraId="0400A211"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0D"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Boundary separation model 1</w:t>
            </w:r>
          </w:p>
        </w:tc>
        <w:tc>
          <w:tcPr>
            <w:tcW w:w="22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0E"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165.37 (50), p &lt; .001</w:t>
            </w:r>
          </w:p>
        </w:tc>
        <w:tc>
          <w:tcPr>
            <w:tcW w:w="1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0F"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0.98</w:t>
            </w:r>
          </w:p>
        </w:tc>
        <w:tc>
          <w:tcPr>
            <w:tcW w:w="16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10"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0.05 [0.04, 0.06]</w:t>
            </w:r>
          </w:p>
        </w:tc>
      </w:tr>
      <w:tr w:rsidR="009B47CB" w14:paraId="0400A214"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12"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Non-decision time model 1</w:t>
            </w:r>
          </w:p>
        </w:tc>
        <w:tc>
          <w:tcPr>
            <w:tcW w:w="5134"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13"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Model did not converge</w:t>
            </w:r>
          </w:p>
        </w:tc>
      </w:tr>
      <w:tr w:rsidR="009B47CB" w14:paraId="0400A217"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15"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Non-decision time model 2</w:t>
            </w:r>
          </w:p>
        </w:tc>
        <w:tc>
          <w:tcPr>
            <w:tcW w:w="5134"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16"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Model did not converge</w:t>
            </w:r>
          </w:p>
        </w:tc>
      </w:tr>
      <w:tr w:rsidR="009B47CB" w14:paraId="0400A21C"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18"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Non-decision time model 3</w:t>
            </w:r>
          </w:p>
        </w:tc>
        <w:tc>
          <w:tcPr>
            <w:tcW w:w="22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19"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120.05 (50), p &lt; .001</w:t>
            </w:r>
          </w:p>
        </w:tc>
        <w:tc>
          <w:tcPr>
            <w:tcW w:w="1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1A"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0.98</w:t>
            </w:r>
          </w:p>
        </w:tc>
        <w:tc>
          <w:tcPr>
            <w:tcW w:w="16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1B"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[0.03, 0.05]</w:t>
            </w:r>
          </w:p>
        </w:tc>
      </w:tr>
      <w:tr w:rsidR="009B47CB" w14:paraId="0400A221"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1D"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Full measurement model</w:t>
            </w:r>
          </w:p>
        </w:tc>
        <w:tc>
          <w:tcPr>
            <w:tcW w:w="22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1E"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1249.81 (445), p &lt; .001</w:t>
            </w:r>
          </w:p>
        </w:tc>
        <w:tc>
          <w:tcPr>
            <w:tcW w:w="1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1F"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0.96</w:t>
            </w:r>
          </w:p>
        </w:tc>
        <w:tc>
          <w:tcPr>
            <w:tcW w:w="16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20"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[0.04, 0.05]</w:t>
            </w:r>
          </w:p>
        </w:tc>
      </w:tr>
      <w:tr w:rsidR="009B47CB" w14:paraId="0400A226"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22"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b/>
                <w:color w:val="000000"/>
                <w:sz w:val="20"/>
                <w:szCs w:val="20"/>
              </w:rPr>
            </w:pPr>
            <w:r>
              <w:rPr>
                <w:rFonts w:ascii="Times" w:eastAsia="Arial" w:hAnsi="Arial" w:cs="Arial"/>
                <w:b/>
                <w:color w:val="000000"/>
                <w:sz w:val="20"/>
                <w:szCs w:val="20"/>
              </w:rPr>
              <w:t>Structural models</w:t>
            </w:r>
          </w:p>
        </w:tc>
        <w:tc>
          <w:tcPr>
            <w:tcW w:w="22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23"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24"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6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25" w14:textId="77777777" w:rsidR="009B47CB" w:rsidRDefault="009B47CB">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9B47CB" w14:paraId="0400A22B"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27"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Primary deprivation model</w:t>
            </w:r>
          </w:p>
        </w:tc>
        <w:tc>
          <w:tcPr>
            <w:tcW w:w="22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28"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1564.34 (599), p &lt; .001</w:t>
            </w:r>
          </w:p>
        </w:tc>
        <w:tc>
          <w:tcPr>
            <w:tcW w:w="1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29"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0.95</w:t>
            </w:r>
          </w:p>
        </w:tc>
        <w:tc>
          <w:tcPr>
            <w:tcW w:w="16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2A"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[0.04, 0.04]</w:t>
            </w:r>
          </w:p>
        </w:tc>
      </w:tr>
      <w:tr w:rsidR="009B47CB" w14:paraId="0400A230"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2C"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Secondary deprivation model</w:t>
            </w:r>
          </w:p>
        </w:tc>
        <w:tc>
          <w:tcPr>
            <w:tcW w:w="22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2D"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1625.91 (661), p &lt; .001</w:t>
            </w:r>
          </w:p>
        </w:tc>
        <w:tc>
          <w:tcPr>
            <w:tcW w:w="1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2E"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0.96</w:t>
            </w:r>
          </w:p>
        </w:tc>
        <w:tc>
          <w:tcPr>
            <w:tcW w:w="16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2F"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[0.04, 0.04]</w:t>
            </w:r>
          </w:p>
        </w:tc>
      </w:tr>
      <w:tr w:rsidR="009B47CB" w14:paraId="0400A235"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31"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Primary threat model</w:t>
            </w:r>
          </w:p>
        </w:tc>
        <w:tc>
          <w:tcPr>
            <w:tcW w:w="22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32"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1309.71 (599), p &lt; .001</w:t>
            </w:r>
          </w:p>
        </w:tc>
        <w:tc>
          <w:tcPr>
            <w:tcW w:w="1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33"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0.95</w:t>
            </w:r>
          </w:p>
        </w:tc>
        <w:tc>
          <w:tcPr>
            <w:tcW w:w="16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A234"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[0.04, 0.04]</w:t>
            </w:r>
          </w:p>
        </w:tc>
      </w:tr>
      <w:tr w:rsidR="009B47CB" w14:paraId="0400A23A" w14:textId="77777777">
        <w:trPr>
          <w:jc w:val="center"/>
        </w:trPr>
        <w:tc>
          <w:tcPr>
            <w:tcW w:w="318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236"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Secondary threat model</w:t>
            </w:r>
          </w:p>
        </w:tc>
        <w:tc>
          <w:tcPr>
            <w:tcW w:w="2282"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237"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1361.94 (602), p &lt; .001</w:t>
            </w:r>
          </w:p>
        </w:tc>
        <w:tc>
          <w:tcPr>
            <w:tcW w:w="1209"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238"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0.95</w:t>
            </w:r>
          </w:p>
        </w:tc>
        <w:tc>
          <w:tcPr>
            <w:tcW w:w="164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0A239"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[0.04, 0.05]</w:t>
            </w:r>
          </w:p>
        </w:tc>
      </w:tr>
      <w:tr w:rsidR="009B47CB" w14:paraId="0400A23C" w14:textId="77777777">
        <w:trPr>
          <w:jc w:val="center"/>
        </w:trPr>
        <w:tc>
          <w:tcPr>
            <w:tcW w:w="8317" w:type="dxa"/>
            <w:gridSpan w:val="4"/>
            <w:tcBorders>
              <w:top w:val="single" w:sz="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0400A23B"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i/>
                <w:color w:val="000000"/>
                <w:sz w:val="20"/>
                <w:szCs w:val="20"/>
              </w:rPr>
              <w:t xml:space="preserve">Note: </w:t>
            </w:r>
            <w:r>
              <w:rPr>
                <w:rFonts w:ascii="Times" w:eastAsia="Arial" w:hAnsi="Arial" w:cs="Arial"/>
                <w:color w:val="000000"/>
                <w:sz w:val="20"/>
                <w:szCs w:val="20"/>
              </w:rPr>
              <w:t>for each DDM parameter, measurement model 1 contained a task-general latent factor as well as separate latent factors for inhibition and shifting. Measurement model 2 contained a task-general latent factor as well as a common EF factor. Measurement model 3 contained only a task-general latent factor.</w:t>
            </w:r>
          </w:p>
        </w:tc>
      </w:tr>
      <w:tr w:rsidR="009B47CB" w14:paraId="0400A23E" w14:textId="77777777">
        <w:trPr>
          <w:jc w:val="center"/>
        </w:trPr>
        <w:tc>
          <w:tcPr>
            <w:tcW w:w="8317" w:type="dxa"/>
            <w:gridSpan w:val="4"/>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0400A23D" w14:textId="77777777" w:rsidR="009B47CB" w:rsidRDefault="00AF141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w:t>
            </w:r>
          </w:p>
        </w:tc>
      </w:tr>
    </w:tbl>
    <w:p w14:paraId="0400A23F" w14:textId="77777777" w:rsidR="009B47CB" w:rsidRDefault="009B47CB">
      <w:pPr>
        <w:pStyle w:val="BodyText"/>
      </w:pPr>
    </w:p>
    <w:p w14:paraId="0400A240" w14:textId="77777777" w:rsidR="009B47CB" w:rsidRDefault="00AF1415">
      <w:pPr>
        <w:pStyle w:val="Heading2"/>
      </w:pPr>
      <w:bookmarkStart w:id="25" w:name="preregistered-analyses"/>
      <w:bookmarkEnd w:id="24"/>
      <w:r>
        <w:t>Preregistered analyses</w:t>
      </w:r>
    </w:p>
    <w:p w14:paraId="0400A241" w14:textId="77777777" w:rsidR="009B47CB" w:rsidRDefault="00AF1415">
      <w:r>
        <w:t>Our primary analyses examined the association of exposure to material deprivation and threat in adulthood with task-general processing speed, task-general response caution, and task-general speed of stimulus encoding and/or response execution. As the structural equation model analyses reported above showed that EF-specific factors had non-significant variances, we retained them in the model but did not include them as dependent variables in subsequent analyses.</w:t>
      </w:r>
    </w:p>
    <w:p w14:paraId="0400A242" w14:textId="77777777" w:rsidR="009B47CB" w:rsidRDefault="00AF1415">
      <w:pPr>
        <w:pStyle w:val="Heading3"/>
      </w:pPr>
      <w:bookmarkStart w:id="26" w:name="material-deprivation-in-adulthood-1"/>
      <w:r>
        <w:t>Material deprivation in adulthood</w:t>
      </w:r>
    </w:p>
    <w:p w14:paraId="0400A243" w14:textId="77777777" w:rsidR="009B47CB" w:rsidRDefault="00AF1415">
      <w:r>
        <w:t>Exposure to material deprivation in adulthood was not associated with either general processing speed (</w:t>
      </w:r>
      <m:oMath>
        <m:r>
          <w:rPr>
            <w:rFonts w:ascii="Cambria Math" w:hAnsi="Cambria Math"/>
          </w:rPr>
          <m:t>β</m:t>
        </m:r>
      </m:oMath>
      <w:r>
        <w:t xml:space="preserve"> = -0.08, </w:t>
      </w:r>
      <w:r>
        <w:rPr>
          <w:i/>
          <w:iCs/>
        </w:rPr>
        <w:t>p</w:t>
      </w:r>
      <w:r>
        <w:t xml:space="preserve"> = .063), task-general response caution (</w:t>
      </w:r>
      <m:oMath>
        <m:r>
          <w:rPr>
            <w:rFonts w:ascii="Cambria Math" w:hAnsi="Cambria Math"/>
          </w:rPr>
          <m:t>β</m:t>
        </m:r>
      </m:oMath>
      <w:r>
        <w:t xml:space="preserve"> = 0.06, </w:t>
      </w:r>
      <w:r>
        <w:rPr>
          <w:i/>
          <w:iCs/>
        </w:rPr>
        <w:t>p</w:t>
      </w:r>
      <w:r>
        <w:t xml:space="preserve"> = .155), or task-general non-decision time (</w:t>
      </w:r>
      <m:oMath>
        <m:r>
          <w:rPr>
            <w:rFonts w:ascii="Cambria Math" w:hAnsi="Cambria Math"/>
          </w:rPr>
          <m:t>β</m:t>
        </m:r>
      </m:oMath>
      <w:r>
        <w:t xml:space="preserve"> = 0.05, </w:t>
      </w:r>
      <w:r>
        <w:rPr>
          <w:i/>
          <w:iCs/>
        </w:rPr>
        <w:t>p</w:t>
      </w:r>
      <w:r>
        <w:t xml:space="preserve"> = .153) (see Figure 4). In addition, none of the </w:t>
      </w:r>
      <w:r>
        <w:lastRenderedPageBreak/>
        <w:t xml:space="preserve">effects fell within the region of practical equivalence (all </w:t>
      </w:r>
      <w:r>
        <w:rPr>
          <w:i/>
          <w:iCs/>
        </w:rPr>
        <w:t>p</w:t>
      </w:r>
      <w:r>
        <w:t>s ≥ .092). The effects in the secondary model (including expossure to threat in adulthood as a confounder) were comparable.</w:t>
      </w:r>
    </w:p>
    <w:p w14:paraId="0400A244" w14:textId="77777777" w:rsidR="009B47CB" w:rsidRDefault="009B47CB">
      <w:pPr>
        <w:pStyle w:val="BodyText"/>
      </w:pPr>
    </w:p>
    <w:p w14:paraId="0400A245" w14:textId="77777777" w:rsidR="009B47CB" w:rsidRDefault="00AF1415">
      <w:r>
        <w:rPr>
          <w:noProof/>
        </w:rPr>
        <w:drawing>
          <wp:inline distT="0" distB="0" distL="0" distR="0" wp14:anchorId="0400A2DB" wp14:editId="0400A2DC">
            <wp:extent cx="5486400" cy="4642338"/>
            <wp:effectExtent l="0" t="0" r="0" b="0"/>
            <wp:docPr id="57" name="Picture" descr="Figure 4. Standardized (preregistered) associations between exposure to adversity in adulthood with task-general processing speed, response caution, and non-decision time. The left panel depicts effects of material deprivation and the right panel depicts effects of threat. The top row depicts effects of the primary statistical model (following from our main Directed Acyclic Graph), and the bottom row depicts effects of the secondary statistical model (see Figure 1). For material deprivation in adulthood, the primary statistical model included age, education, and childhood adversity as confounders, whereas the secondary model additionally included threat in adulthood as a confounder. For threat in adulthood, the primary statistial model included age, childhood adversity, and material deprivation in adulthood, whereas the secondary statistical model did not include material deprivation in adulthood as a confounder. The gray area reflects the preregistered area of practical equivalence. Effects depicted with a solid point are practically equivalent, and effects depicted with a hollow point are not practically equivalent. Standard errors represent 95% confidence intervals. Statistical significance (tested against zero) is indicated with asterisks; * p &lt; .05, ** p &lt; .01, *** p &lt; .001."/>
            <wp:cNvGraphicFramePr/>
            <a:graphic xmlns:a="http://schemas.openxmlformats.org/drawingml/2006/main">
              <a:graphicData uri="http://schemas.openxmlformats.org/drawingml/2006/picture">
                <pic:pic xmlns:pic="http://schemas.openxmlformats.org/drawingml/2006/picture">
                  <pic:nvPicPr>
                    <pic:cNvPr id="58" name="Picture" descr="masked_manuscript_files/figure-docx/Figure4-1.png"/>
                    <pic:cNvPicPr>
                      <a:picLocks noChangeAspect="1" noChangeArrowheads="1"/>
                    </pic:cNvPicPr>
                  </pic:nvPicPr>
                  <pic:blipFill>
                    <a:blip r:embed="rId17"/>
                    <a:stretch>
                      <a:fillRect/>
                    </a:stretch>
                  </pic:blipFill>
                  <pic:spPr bwMode="auto">
                    <a:xfrm>
                      <a:off x="0" y="0"/>
                      <a:ext cx="5486400" cy="4642338"/>
                    </a:xfrm>
                    <a:prstGeom prst="rect">
                      <a:avLst/>
                    </a:prstGeom>
                    <a:noFill/>
                    <a:ln w="9525">
                      <a:noFill/>
                      <a:headEnd/>
                      <a:tailEnd/>
                    </a:ln>
                  </pic:spPr>
                </pic:pic>
              </a:graphicData>
            </a:graphic>
          </wp:inline>
        </w:drawing>
      </w:r>
    </w:p>
    <w:p w14:paraId="0400A246" w14:textId="77777777" w:rsidR="009B47CB" w:rsidRDefault="00AF1415">
      <w:pPr>
        <w:pStyle w:val="ImageCaption"/>
      </w:pPr>
      <w:r>
        <w:rPr>
          <w:b/>
          <w:bCs/>
        </w:rPr>
        <w:t>Figure 4.</w:t>
      </w:r>
      <w:r>
        <w:t xml:space="preserve"> Standardized (preregistered) associations between exposure to adversity in adulthood with task-general processing speed, response caution, and non-decision time. The left panel depicts effects of material deprivation and the right panel depicts effects of threat. The top row depicts effects of the primary statistical model (following from our main Directed Acyclic Graph), and the bottom row depicts effects of the secondary statistical model (see Figure 1). For material deprivation in adulthood, the primary</w:t>
      </w:r>
      <w:r>
        <w:t xml:space="preserve"> statistical model included age, education, and childhood adversity as confounders, whereas the secondary model additionally included threat in adulthood as a confounder. For threat in adulthood, the primary statistial model included age, childhood adversity, and material deprivation in adulthood, whereas the secondary statistical model did not include material deprivation in adulthood as a confounder. The gray area reflects the preregistered area of practical equivalence. Effects depicted with a solid poin</w:t>
      </w:r>
      <w:r>
        <w:t xml:space="preserve">t are practically equivalent, and effects depicted with a hollow point are not practically equivalent. Standard </w:t>
      </w:r>
      <w:r>
        <w:lastRenderedPageBreak/>
        <w:t xml:space="preserve">errors represent 95% confidence intervals. Statistical significance (tested against zero) is indicated with asterisks; * </w:t>
      </w:r>
      <w:r>
        <w:rPr>
          <w:i/>
          <w:iCs/>
        </w:rPr>
        <w:t>p</w:t>
      </w:r>
      <w:r>
        <w:t xml:space="preserve"> &lt; .05, ** </w:t>
      </w:r>
      <w:r>
        <w:rPr>
          <w:i/>
          <w:iCs/>
        </w:rPr>
        <w:t>p</w:t>
      </w:r>
      <w:r>
        <w:t xml:space="preserve"> &lt; .01, *** </w:t>
      </w:r>
      <w:r>
        <w:rPr>
          <w:i/>
          <w:iCs/>
        </w:rPr>
        <w:t>p</w:t>
      </w:r>
      <w:r>
        <w:t xml:space="preserve"> &lt; .001.</w:t>
      </w:r>
    </w:p>
    <w:p w14:paraId="0400A247" w14:textId="77777777" w:rsidR="009B47CB" w:rsidRDefault="009B47CB">
      <w:pPr>
        <w:pStyle w:val="BodyText"/>
      </w:pPr>
    </w:p>
    <w:p w14:paraId="0400A248" w14:textId="77777777" w:rsidR="009B47CB" w:rsidRDefault="00AF1415">
      <w:pPr>
        <w:pStyle w:val="Heading3"/>
      </w:pPr>
      <w:bookmarkStart w:id="27" w:name="threat-in-adulthood"/>
      <w:bookmarkEnd w:id="26"/>
      <w:r>
        <w:t>Threat in adulthood</w:t>
      </w:r>
    </w:p>
    <w:p w14:paraId="0400A249" w14:textId="77777777" w:rsidR="009B47CB" w:rsidRDefault="00AF1415">
      <w:r>
        <w:t>Exposure to threat in adulthood was negatively associated with task-general processing speed (</w:t>
      </w:r>
      <m:oMath>
        <m:r>
          <w:rPr>
            <w:rFonts w:ascii="Cambria Math" w:hAnsi="Cambria Math"/>
          </w:rPr>
          <m:t>β</m:t>
        </m:r>
      </m:oMath>
      <w:r>
        <w:t xml:space="preserve"> = -0.10, </w:t>
      </w:r>
      <w:r>
        <w:rPr>
          <w:i/>
          <w:iCs/>
        </w:rPr>
        <w:t>p</w:t>
      </w:r>
      <w:r>
        <w:t xml:space="preserve"> = .036) (see Figure 4). People who reported more exposure to threat in adulthood processed information more slowly across tasks. Exposure to threat in adulthood was not associated with task-general response caution (</w:t>
      </w:r>
      <m:oMath>
        <m:r>
          <w:rPr>
            <w:rFonts w:ascii="Cambria Math" w:hAnsi="Cambria Math"/>
          </w:rPr>
          <m:t>β</m:t>
        </m:r>
      </m:oMath>
      <w:r>
        <w:t xml:space="preserve"> = 0.04, </w:t>
      </w:r>
      <w:r>
        <w:rPr>
          <w:i/>
          <w:iCs/>
        </w:rPr>
        <w:t>p</w:t>
      </w:r>
      <w:r>
        <w:t xml:space="preserve"> = .355), or task-general non-decision time (</w:t>
      </w:r>
      <m:oMath>
        <m:r>
          <w:rPr>
            <w:rFonts w:ascii="Cambria Math" w:hAnsi="Cambria Math"/>
          </w:rPr>
          <m:t>β</m:t>
        </m:r>
      </m:oMath>
      <w:r>
        <w:t xml:space="preserve"> = -0.04, </w:t>
      </w:r>
      <w:r>
        <w:rPr>
          <w:i/>
          <w:iCs/>
        </w:rPr>
        <w:t>p</w:t>
      </w:r>
      <w:r>
        <w:t xml:space="preserve"> = .333). The effects in the secondary model (excluding material deprivation in adulthood as a confounder) were comparable, although the association with task-general non-decision time was practically equivalent in the secondary model.</w:t>
      </w:r>
    </w:p>
    <w:p w14:paraId="0400A24A" w14:textId="77777777" w:rsidR="009B47CB" w:rsidRDefault="00AF1415">
      <w:pPr>
        <w:pStyle w:val="Heading2"/>
      </w:pPr>
      <w:bookmarkStart w:id="28" w:name="non-preregistered-analyses"/>
      <w:bookmarkEnd w:id="27"/>
      <w:bookmarkEnd w:id="25"/>
      <w:r>
        <w:t>Non-preregistered analyses</w:t>
      </w:r>
    </w:p>
    <w:p w14:paraId="0400A24B" w14:textId="77777777" w:rsidR="009B47CB" w:rsidRDefault="00AF1415">
      <w:pPr>
        <w:pStyle w:val="Heading3"/>
      </w:pPr>
      <w:bookmarkStart w:id="29" w:name="associations-with-childhood-adversity"/>
      <w:r>
        <w:t>Associations with childhood adversity</w:t>
      </w:r>
    </w:p>
    <w:p w14:paraId="0400A24C" w14:textId="77777777" w:rsidR="009B47CB" w:rsidRDefault="00AF1415">
      <w:r>
        <w:t xml:space="preserve">In the first set of non-preregistered analyses, we analyzed how childhood exposure to threat and material deprivation are associated with task-general and ability-specific cognitive processes. The rational for these analyses is that we observed significant indirect associations between childhood adversity and general speed of processing in our preregistered analyses. Here, we analyzed </w:t>
      </w:r>
      <w:r>
        <w:rPr>
          <w:i/>
          <w:iCs/>
        </w:rPr>
        <w:t>direct</w:t>
      </w:r>
      <w:r>
        <w:t xml:space="preserve"> effects of childhood threat and material deprivation (i.e., without including exposure to adversity in adulthood). We controlled for sex (but not age and education) and in the case of threat we also controlled for material deprivation, but not the other way around (similarly to the preregistered analyses).</w:t>
      </w:r>
    </w:p>
    <w:p w14:paraId="0400A24D" w14:textId="77777777" w:rsidR="009B47CB" w:rsidRDefault="00AF1415">
      <w:pPr>
        <w:pStyle w:val="BodyText"/>
      </w:pPr>
      <w:r>
        <w:t xml:space="preserve">Childhood exposure to material deprivation was negatively associated with general processing speed, </w:t>
      </w:r>
      <m:oMath>
        <m:r>
          <w:rPr>
            <w:rFonts w:ascii="Cambria Math" w:hAnsi="Cambria Math"/>
          </w:rPr>
          <m:t>β</m:t>
        </m:r>
      </m:oMath>
      <w:r>
        <w:t xml:space="preserve"> = -0.24, SE = 0.04, 95% CI = [-0.31, -0.17], </w:t>
      </w:r>
      <w:r>
        <w:rPr>
          <w:i/>
          <w:iCs/>
        </w:rPr>
        <w:t>p</w:t>
      </w:r>
      <w:r>
        <w:t xml:space="preserve"> &lt; .001. People who reported higher levels of childhood exposure to material deprivation processed information more slowly </w:t>
      </w:r>
      <w:r>
        <w:lastRenderedPageBreak/>
        <w:t xml:space="preserve">across tasks. In addition, childhood exposure to material deprivation was positively associated with non-decision time, </w:t>
      </w:r>
      <m:oMath>
        <m:r>
          <w:rPr>
            <w:rFonts w:ascii="Cambria Math" w:hAnsi="Cambria Math"/>
          </w:rPr>
          <m:t>β</m:t>
        </m:r>
      </m:oMath>
      <w:r>
        <w:t xml:space="preserve"> = 0.1, SE = 0.04, 95% CI = [0.02, 0.18], </w:t>
      </w:r>
      <w:r>
        <w:rPr>
          <w:i/>
          <w:iCs/>
        </w:rPr>
        <w:t>p</w:t>
      </w:r>
      <w:r>
        <w:t xml:space="preserve"> = .015. People who reported higher levels of childhood exposure to material deprivation took more time to encode stimulus information and/or execute responses across tasks. Childhood exposure to material deprivation was not associated with general response caution. Equivalence tests revealed that none of these associations fell within the region of practical equivalence.</w:t>
      </w:r>
    </w:p>
    <w:p w14:paraId="0400A24E" w14:textId="77777777" w:rsidR="009B47CB" w:rsidRDefault="00AF1415">
      <w:pPr>
        <w:pStyle w:val="BodyText"/>
      </w:pPr>
      <w:r>
        <w:t xml:space="preserve">For childhood exposure to threat, we found a significant negative association with general processing speed, </w:t>
      </w:r>
      <m:oMath>
        <m:r>
          <w:rPr>
            <w:rFonts w:ascii="Cambria Math" w:hAnsi="Cambria Math"/>
          </w:rPr>
          <m:t>β</m:t>
        </m:r>
      </m:oMath>
      <w:r>
        <w:t xml:space="preserve"> = -0.14, SE = 0.04, 95% CI = [-0.23, -0.06], </w:t>
      </w:r>
      <w:r>
        <w:rPr>
          <w:i/>
          <w:iCs/>
        </w:rPr>
        <w:t>p</w:t>
      </w:r>
      <w:r>
        <w:t xml:space="preserve"> &lt; .001. People who reported higher levels of childhood exposure to threat processed information more slowly across tasks. We did not find significant associations between childhood exposure to threat and general response caution or general non-decision time. Of these associations, equivalence tests revealed that the association with general response caution fell within the region of practical equivalence (</w:t>
      </w:r>
      <w:r>
        <w:rPr>
          <w:i/>
          <w:iCs/>
        </w:rPr>
        <w:t>p</w:t>
      </w:r>
      <w:r>
        <w:t xml:space="preserve"> = .026).</w:t>
      </w:r>
    </w:p>
    <w:p w14:paraId="0400A24F" w14:textId="77777777" w:rsidR="009B47CB" w:rsidRDefault="00AF1415">
      <w:r>
        <w:rPr>
          <w:noProof/>
        </w:rPr>
        <w:drawing>
          <wp:inline distT="0" distB="0" distL="0" distR="0" wp14:anchorId="0400A2DD" wp14:editId="0400A2DE">
            <wp:extent cx="5486400" cy="2532184"/>
            <wp:effectExtent l="0" t="0" r="0" b="0"/>
            <wp:docPr id="63" name="Picture" descr="Figure 5. Standardized (non-preregistered) associations between childhood exposure to adversity with task-general processing speed, response caution, and non-decision time. The left panel depicts effects of material deprivation and the right panel depicts effects of threat. The gray area reflects the preregistered area of practical equivalence. Effects depicted with a solid point are practically equivalent, and effects depicted with a hollow point are not practically equivalent. Standard errors represent 95% confidence intervals. Statistical significance (tested against zero) is indicated with asterisks; * p &lt; .05, ** p &lt; .01, *** p &lt; .001."/>
            <wp:cNvGraphicFramePr/>
            <a:graphic xmlns:a="http://schemas.openxmlformats.org/drawingml/2006/main">
              <a:graphicData uri="http://schemas.openxmlformats.org/drawingml/2006/picture">
                <pic:pic xmlns:pic="http://schemas.openxmlformats.org/drawingml/2006/picture">
                  <pic:nvPicPr>
                    <pic:cNvPr id="64" name="Picture" descr="masked_manuscript_files/figure-docx/Figure5-1.png"/>
                    <pic:cNvPicPr>
                      <a:picLocks noChangeAspect="1" noChangeArrowheads="1"/>
                    </pic:cNvPicPr>
                  </pic:nvPicPr>
                  <pic:blipFill>
                    <a:blip r:embed="rId18"/>
                    <a:stretch>
                      <a:fillRect/>
                    </a:stretch>
                  </pic:blipFill>
                  <pic:spPr bwMode="auto">
                    <a:xfrm>
                      <a:off x="0" y="0"/>
                      <a:ext cx="5486400" cy="2532184"/>
                    </a:xfrm>
                    <a:prstGeom prst="rect">
                      <a:avLst/>
                    </a:prstGeom>
                    <a:noFill/>
                    <a:ln w="9525">
                      <a:noFill/>
                      <a:headEnd/>
                      <a:tailEnd/>
                    </a:ln>
                  </pic:spPr>
                </pic:pic>
              </a:graphicData>
            </a:graphic>
          </wp:inline>
        </w:drawing>
      </w:r>
    </w:p>
    <w:p w14:paraId="0400A250" w14:textId="77777777" w:rsidR="009B47CB" w:rsidRDefault="00AF1415">
      <w:pPr>
        <w:pStyle w:val="ImageCaption"/>
      </w:pPr>
      <w:r>
        <w:rPr>
          <w:b/>
          <w:bCs/>
        </w:rPr>
        <w:t>Figure 5.</w:t>
      </w:r>
      <w:r>
        <w:t xml:space="preserve"> Standardized (non-preregistered) associations between childhood exposure to adversity with task-general processing speed, response caution, and non-decision time. The left panel depicts effects of material deprivation and the right panel depicts effects of threat. The gray area reflects the preregistered area of practical equivalence. Effects depicted with a solid point are </w:t>
      </w:r>
      <w:r>
        <w:lastRenderedPageBreak/>
        <w:t>practically equivalent, and effects depicted with a hollow point are not practically equivalent. Standard errors represent 95% confide</w:t>
      </w:r>
      <w:r>
        <w:t xml:space="preserve">nce intervals. Statistical significance (tested against zero) is indicated with asterisks; * </w:t>
      </w:r>
      <w:r>
        <w:rPr>
          <w:i/>
          <w:iCs/>
        </w:rPr>
        <w:t>p</w:t>
      </w:r>
      <w:r>
        <w:t xml:space="preserve"> &lt; .05, ** </w:t>
      </w:r>
      <w:r>
        <w:rPr>
          <w:i/>
          <w:iCs/>
        </w:rPr>
        <w:t>p</w:t>
      </w:r>
      <w:r>
        <w:t xml:space="preserve"> &lt; .01, *** </w:t>
      </w:r>
      <w:r>
        <w:rPr>
          <w:i/>
          <w:iCs/>
        </w:rPr>
        <w:t>p</w:t>
      </w:r>
      <w:r>
        <w:t xml:space="preserve"> &lt; .001.</w:t>
      </w:r>
    </w:p>
    <w:p w14:paraId="0400A251" w14:textId="77777777" w:rsidR="009B47CB" w:rsidRDefault="009B47CB">
      <w:pPr>
        <w:pStyle w:val="BodyText"/>
      </w:pPr>
    </w:p>
    <w:p w14:paraId="0400A252" w14:textId="77777777" w:rsidR="009B47CB" w:rsidRDefault="00AF1415">
      <w:pPr>
        <w:pStyle w:val="Heading3"/>
      </w:pPr>
      <w:bookmarkStart w:id="30" w:name="Xc25a3eea31251eb834d282d2773e325b31317b9"/>
      <w:bookmarkEnd w:id="29"/>
      <w:r>
        <w:t>Associations with task-specific drift rates</w:t>
      </w:r>
    </w:p>
    <w:p w14:paraId="0400A253" w14:textId="77777777" w:rsidR="009B47CB" w:rsidRDefault="00AF1415">
      <w:r>
        <w:t>In the second set of non-preregistered analyses, we analyzed how adversity exposure during childhood and adulthood were associated with task-specific residual variances. The rationale for these analyses was that while we did not find coherent latent EF factors, all tasks showed significant residual variance after accounting for general speed of processing. This implies that, after accounting for general speed of processing, performance is further determined by unique features of individual tasks (i.e., meth</w:t>
      </w:r>
      <w:r>
        <w:t>od variance), which may be associated with adversity exposure. For this analysis, we were mostly interested in investigating the extent to which task-specific effects reflect EF abilities or task-specific processing, and therefore only focused on drift rates.</w:t>
      </w:r>
    </w:p>
    <w:p w14:paraId="0400A254" w14:textId="77777777" w:rsidR="009B47CB" w:rsidRDefault="00AF1415">
      <w:pPr>
        <w:pStyle w:val="BodyText"/>
      </w:pPr>
      <w:r>
        <w:t xml:space="preserve">We first attempted to fit a model in which all task-specific drift rates were allowed to covary (i.e., across inhibition and attention-shifting tasks). However, this model did not converge. A model that only estimated covariances between task-specific drift rates of inhibition tasks and attention shifting tasks separately provided a good fit to the data (CFI = 0.99, RMSEA = 0.03 [0.02, 0.04]). This suggests that task-specific drift rates correlated among inhibition tasks and among attention-shifting tasks, </w:t>
      </w:r>
      <w:r>
        <w:t>but not between inhibition and attention-shifting tasks.</w:t>
      </w:r>
    </w:p>
    <w:p w14:paraId="0400A255" w14:textId="77777777" w:rsidR="009B47CB" w:rsidRDefault="00AF1415">
      <w:pPr>
        <w:pStyle w:val="BodyText"/>
      </w:pPr>
      <w:r>
        <w:t xml:space="preserve">Figure 6 shows latent correlations between task-specific drift rates after accounting for task-general processing speed. The drift rates of repeat and switch conditions within each attention shifting task correlated moderately to strongly, while all correlations between tasks were low. This suggests that task-specific drift rates of attention shifting tasks captured features </w:t>
      </w:r>
      <w:r>
        <w:lastRenderedPageBreak/>
        <w:t>of the tasks that were not shared between tasks. In contrast, all correlations between task-specific drift rates of inhibition tasks were low, even among drift rates of the same task. Thus, task-specific drift rate did provide consistent measures of specific EF abilities that are shared across tasks.</w:t>
      </w:r>
    </w:p>
    <w:p w14:paraId="0400A256" w14:textId="77777777" w:rsidR="009B47CB" w:rsidRDefault="009B47CB">
      <w:pPr>
        <w:pStyle w:val="BodyText"/>
      </w:pPr>
    </w:p>
    <w:p w14:paraId="0400A257" w14:textId="77777777" w:rsidR="009B47CB" w:rsidRDefault="00AF1415">
      <w:r>
        <w:rPr>
          <w:noProof/>
        </w:rPr>
        <w:drawing>
          <wp:inline distT="0" distB="0" distL="0" distR="0" wp14:anchorId="0400A2DF" wp14:editId="0400A2E0">
            <wp:extent cx="5943600" cy="4572000"/>
            <wp:effectExtent l="0" t="0" r="0" b="0"/>
            <wp:docPr id="67" name="Picture" descr="Figure 6. Correlations between task-specific drift rates after accounting for task-general processing speed."/>
            <wp:cNvGraphicFramePr/>
            <a:graphic xmlns:a="http://schemas.openxmlformats.org/drawingml/2006/main">
              <a:graphicData uri="http://schemas.openxmlformats.org/drawingml/2006/picture">
                <pic:pic xmlns:pic="http://schemas.openxmlformats.org/drawingml/2006/picture">
                  <pic:nvPicPr>
                    <pic:cNvPr id="68" name="Picture" descr="masked_manuscript_files/figure-docx/Figure6-1.png"/>
                    <pic:cNvPicPr>
                      <a:picLocks noChangeAspect="1" noChangeArrowheads="1"/>
                    </pic:cNvPicPr>
                  </pic:nvPicPr>
                  <pic:blipFill>
                    <a:blip r:embed="rId19"/>
                    <a:stretch>
                      <a:fillRect/>
                    </a:stretch>
                  </pic:blipFill>
                  <pic:spPr bwMode="auto">
                    <a:xfrm>
                      <a:off x="0" y="0"/>
                      <a:ext cx="5943600" cy="4572000"/>
                    </a:xfrm>
                    <a:prstGeom prst="rect">
                      <a:avLst/>
                    </a:prstGeom>
                    <a:noFill/>
                    <a:ln w="9525">
                      <a:noFill/>
                      <a:headEnd/>
                      <a:tailEnd/>
                    </a:ln>
                  </pic:spPr>
                </pic:pic>
              </a:graphicData>
            </a:graphic>
          </wp:inline>
        </w:drawing>
      </w:r>
    </w:p>
    <w:p w14:paraId="0400A258" w14:textId="77777777" w:rsidR="009B47CB" w:rsidRDefault="00AF1415">
      <w:pPr>
        <w:pStyle w:val="ImageCaption"/>
      </w:pPr>
      <w:r>
        <w:rPr>
          <w:b/>
          <w:bCs/>
        </w:rPr>
        <w:t>Figure 6.</w:t>
      </w:r>
      <w:r>
        <w:t xml:space="preserve"> Correlations between task-specific drift rates after accounting for task-general processing speed.</w:t>
      </w:r>
    </w:p>
    <w:p w14:paraId="0400A259" w14:textId="77777777" w:rsidR="009B47CB" w:rsidRDefault="009B47CB">
      <w:pPr>
        <w:pStyle w:val="BodyText"/>
      </w:pPr>
    </w:p>
    <w:p w14:paraId="0400A25A" w14:textId="77777777" w:rsidR="009B47CB" w:rsidRDefault="00AF1415">
      <w:pPr>
        <w:pStyle w:val="BodyText"/>
      </w:pPr>
      <w:r>
        <w:t xml:space="preserve">Next, we explored the associations of task-specific drift rates with exposure to material deprivation and threat in both childhood and adulthood, after accounting for task-general </w:t>
      </w:r>
      <w:r>
        <w:lastRenderedPageBreak/>
        <w:t xml:space="preserve">processing speed (Figure 7). Exposure to material deprivation in adulthood was not associated with task-specific drift rates of any of the tasks. Exposure to threat in adulthood was negatively associated all task-specific drift rates in both the repeat and switch condition of the Color-shape task (repeat: </w:t>
      </w:r>
      <m:oMath>
        <m:r>
          <w:rPr>
            <w:rFonts w:ascii="Cambria Math" w:hAnsi="Cambria Math"/>
          </w:rPr>
          <m:t>β</m:t>
        </m:r>
      </m:oMath>
      <w:r>
        <w:t xml:space="preserve"> = -0.14, SE = 0.05, 95% CI = [-0.23, -0.05], </w:t>
      </w:r>
      <w:r>
        <w:rPr>
          <w:i/>
          <w:iCs/>
        </w:rPr>
        <w:t>p</w:t>
      </w:r>
      <w:r>
        <w:t xml:space="preserve"> = .025; switch: </w:t>
      </w:r>
      <m:oMath>
        <m:r>
          <w:rPr>
            <w:rFonts w:ascii="Cambria Math" w:hAnsi="Cambria Math"/>
          </w:rPr>
          <m:t>β</m:t>
        </m:r>
      </m:oMath>
      <w:r>
        <w:t xml:space="preserve"> = -0.13, SE = 0.05, 95% CI = [-0.22, -0.04], </w:t>
      </w:r>
      <w:r>
        <w:rPr>
          <w:i/>
          <w:iCs/>
        </w:rPr>
        <w:t>p</w:t>
      </w:r>
      <w:r>
        <w:t xml:space="preserve"> = .025). None of the other associations were significant.</w:t>
      </w:r>
    </w:p>
    <w:p w14:paraId="0400A25B" w14:textId="77777777" w:rsidR="009B47CB" w:rsidRDefault="00AF1415">
      <w:pPr>
        <w:pStyle w:val="BodyText"/>
      </w:pPr>
      <w:r>
        <w:t xml:space="preserve">Childhood exposure to material deprivation was negatively associated with all task-specific drift rates, with effect sizes ranging from </w:t>
      </w:r>
      <m:oMath>
        <m:r>
          <w:rPr>
            <w:rFonts w:ascii="Cambria Math" w:hAnsi="Cambria Math"/>
          </w:rPr>
          <m:t>β</m:t>
        </m:r>
      </m:oMath>
      <w:r>
        <w:t xml:space="preserve"> = -0.08 for the congruent condition of the Simon Task to </w:t>
      </w:r>
      <m:oMath>
        <m:r>
          <w:rPr>
            <w:rFonts w:ascii="Cambria Math" w:hAnsi="Cambria Math"/>
          </w:rPr>
          <m:t>β</m:t>
        </m:r>
      </m:oMath>
      <w:r>
        <w:t xml:space="preserve"> = -0.27 for the incongruent condition of the Global-local Task. Childhood exposure to threat was negatively associated with all but the task-specific drift rates of the congruent condition of the Flanker and the Simon task. The effect sizes of significant effects ranged from </w:t>
      </w:r>
      <m:oMath>
        <m:r>
          <w:rPr>
            <w:rFonts w:ascii="Cambria Math" w:hAnsi="Cambria Math"/>
          </w:rPr>
          <m:t>β</m:t>
        </m:r>
      </m:oMath>
      <w:r>
        <w:t xml:space="preserve"> = -0.06 for the incongruent condition of the Simon Task to </w:t>
      </w:r>
      <m:oMath>
        <m:r>
          <w:rPr>
            <w:rFonts w:ascii="Cambria Math" w:hAnsi="Cambria Math"/>
          </w:rPr>
          <m:t>β</m:t>
        </m:r>
      </m:oMath>
      <w:r>
        <w:t xml:space="preserve"> = -0.16 for the switch condition of the Posner Task.</w:t>
      </w:r>
    </w:p>
    <w:p w14:paraId="0400A25C" w14:textId="77777777" w:rsidR="009B47CB" w:rsidRDefault="00AF1415">
      <w:pPr>
        <w:pStyle w:val="BodyText"/>
      </w:pPr>
      <w:r>
        <w:t xml:space="preserve">To summarize, we did not find evidence that exposure to threat or material deprivation (either in childhood or adulthood) was associated to specific inhibition or attention-shifting ability. Rather, we mostly found associations with task-general processes. We did find associations between childhood adversity and task-specific drift rates. However, correlations among task-specific drift rates were low, even for tasks thought to measure the same EF ability, suggesting that they reflect method variance rather </w:t>
      </w:r>
      <w:r>
        <w:t>than specific EF abilities.</w:t>
      </w:r>
    </w:p>
    <w:p w14:paraId="0400A25D" w14:textId="77777777" w:rsidR="009B47CB" w:rsidRDefault="00AF1415">
      <w:r>
        <w:rPr>
          <w:noProof/>
        </w:rPr>
        <w:lastRenderedPageBreak/>
        <w:drawing>
          <wp:inline distT="0" distB="0" distL="0" distR="0" wp14:anchorId="0400A2E1" wp14:editId="0400A2E2">
            <wp:extent cx="5943600" cy="4669971"/>
            <wp:effectExtent l="0" t="0" r="0" b="0"/>
            <wp:docPr id="70" name="Picture" descr="Figure 7. Standardized (non-preregistered) associations between adversity and task-specific drift rates. The effects are split out over adversity type (columns) and timing of adversity (rows). The gray area reflects the area of practical equivalence. Triangles depict effects for repeat/congruent conditions, and circles reflect effects for switch/incongruent conditions. Effects depicted with a solid point are practically equivalent, and effects depicted with a hollow point are not practically equivalent. Standard errors represent 95% confidence intervals. Statistical significance (tested against zero) is indicated with asterisks; * p &lt; 0.05, ** p &lt; 0.01, *** p &lt; 0.001."/>
            <wp:cNvGraphicFramePr/>
            <a:graphic xmlns:a="http://schemas.openxmlformats.org/drawingml/2006/main">
              <a:graphicData uri="http://schemas.openxmlformats.org/drawingml/2006/picture">
                <pic:pic xmlns:pic="http://schemas.openxmlformats.org/drawingml/2006/picture">
                  <pic:nvPicPr>
                    <pic:cNvPr id="71" name="Picture" descr="masked_manuscript_files/figure-docx/Figure7-1.png"/>
                    <pic:cNvPicPr>
                      <a:picLocks noChangeAspect="1" noChangeArrowheads="1"/>
                    </pic:cNvPicPr>
                  </pic:nvPicPr>
                  <pic:blipFill>
                    <a:blip r:embed="rId20"/>
                    <a:stretch>
                      <a:fillRect/>
                    </a:stretch>
                  </pic:blipFill>
                  <pic:spPr bwMode="auto">
                    <a:xfrm>
                      <a:off x="0" y="0"/>
                      <a:ext cx="5943600" cy="4669971"/>
                    </a:xfrm>
                    <a:prstGeom prst="rect">
                      <a:avLst/>
                    </a:prstGeom>
                    <a:noFill/>
                    <a:ln w="9525">
                      <a:noFill/>
                      <a:headEnd/>
                      <a:tailEnd/>
                    </a:ln>
                  </pic:spPr>
                </pic:pic>
              </a:graphicData>
            </a:graphic>
          </wp:inline>
        </w:drawing>
      </w:r>
    </w:p>
    <w:p w14:paraId="0400A25E" w14:textId="77777777" w:rsidR="009B47CB" w:rsidRDefault="00AF1415">
      <w:pPr>
        <w:pStyle w:val="ImageCaption"/>
      </w:pPr>
      <w:r>
        <w:rPr>
          <w:b/>
          <w:bCs/>
        </w:rPr>
        <w:t>Figure 7.</w:t>
      </w:r>
      <w:r>
        <w:t xml:space="preserve"> Standardized (non-preregistered) associations between adversity and task-specific drift rates. The effects are split out over adversity type (columns) and timing of adversity (rows). The gray area reflects the area of practical equivalence. Triangles depict effects for repeat/congruent conditions, and circles reflect effects for switch/incongruent conditions. Effects depicted with a solid point are practically equivalent, and effects depicted with a hollow point are not practically equivalent. Standard err</w:t>
      </w:r>
      <w:r>
        <w:t xml:space="preserve">ors represent 95% confidence intervals. Statistical significance (tested against zero) is indicated with asterisks; * </w:t>
      </w:r>
      <w:r>
        <w:rPr>
          <w:i/>
          <w:iCs/>
        </w:rPr>
        <w:t>p</w:t>
      </w:r>
      <w:r>
        <w:t xml:space="preserve"> &lt; 0.05, ** </w:t>
      </w:r>
      <w:r>
        <w:rPr>
          <w:i/>
          <w:iCs/>
        </w:rPr>
        <w:t>p</w:t>
      </w:r>
      <w:r>
        <w:t xml:space="preserve"> &lt; 0.01, *** </w:t>
      </w:r>
      <w:r>
        <w:rPr>
          <w:i/>
          <w:iCs/>
        </w:rPr>
        <w:t>p</w:t>
      </w:r>
      <w:r>
        <w:t xml:space="preserve"> &lt; 0.001.</w:t>
      </w:r>
    </w:p>
    <w:p w14:paraId="0400A25F" w14:textId="77777777" w:rsidR="009B47CB" w:rsidRDefault="009B47CB">
      <w:pPr>
        <w:pStyle w:val="BodyText"/>
      </w:pPr>
    </w:p>
    <w:p w14:paraId="0400A260" w14:textId="77777777" w:rsidR="009B47CB" w:rsidRDefault="00AF1415">
      <w:pPr>
        <w:pStyle w:val="Heading1"/>
      </w:pPr>
      <w:bookmarkStart w:id="31" w:name="discussion"/>
      <w:bookmarkEnd w:id="30"/>
      <w:bookmarkEnd w:id="28"/>
      <w:bookmarkEnd w:id="23"/>
      <w:r>
        <w:t>Discussion</w:t>
      </w:r>
    </w:p>
    <w:p w14:paraId="0400A261" w14:textId="77777777" w:rsidR="009B47CB" w:rsidRDefault="00AF1415">
      <w:r>
        <w:t xml:space="preserve">We investigated associations between exposure to two types of adversity in adulthood—material deprivation and threat—with inhibition and attention shifting ability. Participants completed two inhibition tasks, three attention shifting tasks, and one basic processing speed task. First, we used DDM to separate raw performance into three distinct cognitive processes: (1) </w:t>
      </w:r>
      <w:r>
        <w:lastRenderedPageBreak/>
        <w:t>speed of evidence accumulation (drift rate), (2) response caution (boundary separation), and (3) speed of stimulus encoding and response execution (non-decision time). Finally, we used structural equation modeling to separate variance in each cognitive process into a task-general factor (shared across all tasks) and ability-specific factors.</w:t>
      </w:r>
    </w:p>
    <w:p w14:paraId="0400A262" w14:textId="77777777" w:rsidR="009B47CB" w:rsidRDefault="00AF1415">
      <w:pPr>
        <w:pStyle w:val="Heading2"/>
      </w:pPr>
      <w:bookmarkStart w:id="32" w:name="main-findings"/>
      <w:r>
        <w:t>Main findings</w:t>
      </w:r>
    </w:p>
    <w:p w14:paraId="0400A263" w14:textId="77777777" w:rsidR="009B47CB" w:rsidRDefault="00AF1415">
      <w:r>
        <w:t>People with more exposure to threat in adulthood—but not material deprivation—showed lower general processing speed. This is consistent with predictions from deficit frameworks (Sheridan &amp; McLaughlin, 2014; Tucker-Drob, 2013). After accounting for general processing speed, there was no remaining variance that could be attributed to either inhibition ability or attention shifting ability. Additionally, the associations between material deprivation and threat in adulthood with both response caution and non-de</w:t>
      </w:r>
      <w:r>
        <w:t>cision time were neither significantly different from zero, nor practically equivalent to zero. In other words, from these data, we were neither able to conclude that people with more exposure to adversity differed in their level of response caution and non-decision time, nor that these processes were similar to people with lower levels of adversity exposure.</w:t>
      </w:r>
    </w:p>
    <w:p w14:paraId="0400A264" w14:textId="77777777" w:rsidR="009B47CB" w:rsidRDefault="00AF1415">
      <w:pPr>
        <w:pStyle w:val="BodyText"/>
      </w:pPr>
      <w:r>
        <w:t xml:space="preserve">We found that variance in EF task performance was mostly explained by a task-general factor, not by ability-specific factors. </w:t>
      </w:r>
      <w:r>
        <w:t>This finding aligns with previous research applying DDM to EF tasks. Three recent studies converged on the similar conclusion that performance across different EF tasks is best explained by a task-general drift rate factor (Frischkorn et al., 2019; Hedge et al., 2021; Löffler et al., 2024; Weigard et al., 2021). One study found that the task-general drift rate factor fully reflected basic processing speed, rather than common EF processes (Löffler et al., 2024). Similarly, another study including several inh</w:t>
      </w:r>
      <w:r>
        <w:t xml:space="preserve">ibition tasks found that shared variance was mostly explained by basic processing speed and strategy differences, not by </w:t>
      </w:r>
      <w:r>
        <w:lastRenderedPageBreak/>
        <w:t>inhibition ability (Hedge et al., 2021). It is therefore not surprising that we were unable to estimate ability-specific EF factors after accounting for general processing. These issues tie into several other criticisms of common EF tasks in the cognitive psychology literature—such as low test-retest reliability—which should be considered when using these tasks to test associations with a</w:t>
      </w:r>
      <w:r>
        <w:t>dversity (Bastian et al., 2020).</w:t>
      </w:r>
    </w:p>
    <w:p w14:paraId="0400A265" w14:textId="77777777" w:rsidR="009B47CB" w:rsidRDefault="00AF1415">
      <w:pPr>
        <w:pStyle w:val="BodyText"/>
      </w:pPr>
      <w:r>
        <w:t xml:space="preserve">Our results also align with research showing that associations between adversity and raw performance (e.g., response times, accuracy) on EF tasks are mostly task-general. For instance, across three large cohorts, youth from more disadvantaged backgrounds had lower task-general raw performance across a wide range of cognitive tasks. After controlling for task-general effects, performance on specific intelligence tasks was largely practically equivalent to zero, and performance on some specific EF tasks even </w:t>
      </w:r>
      <w:r>
        <w:t xml:space="preserve">appeared enhanced (Bignardi et al., 2024). Finally, previous research applying DDM in the context of adversity found similar (but not identical) results as reported here. Youth with more exposure to threat (but not material deprivation) had slower general processing speed across three EF tasks and a basic processing speed task, while most specific abilities remained intact (Vermeent, Schubert, Young, et al., 2024). In contrast to the findings reported here, these youth also showed more response caution. It </w:t>
      </w:r>
      <w:r>
        <w:t>is important to highlight that both studies measured specific EF abilities with only a single task. This makes it unclear to which extent the task-specific effects they observed reflected EF abilities (see also our non-preregistered findings discussed below).</w:t>
      </w:r>
    </w:p>
    <w:p w14:paraId="0400A266" w14:textId="77777777" w:rsidR="009B47CB" w:rsidRDefault="00AF1415">
      <w:pPr>
        <w:pStyle w:val="Heading2"/>
      </w:pPr>
      <w:bookmarkStart w:id="33" w:name="non-preregistered-findings"/>
      <w:bookmarkEnd w:id="32"/>
      <w:r>
        <w:t>Non-preregistered findings</w:t>
      </w:r>
    </w:p>
    <w:p w14:paraId="0400A267" w14:textId="77777777" w:rsidR="009B47CB" w:rsidRDefault="00AF1415">
      <w:r>
        <w:t xml:space="preserve">Additional non-preregistered analyses showed that childhood exposure to both material deprivation and threat were associated with slower general processing speed. The effect sizes of these associations were larger than those of recent adversity exposure. This finding is striking </w:t>
      </w:r>
      <w:r>
        <w:lastRenderedPageBreak/>
        <w:t>considering the average age in our sample was 39 years. This is consistent with previous literature suggesting that adverse experiences early in life have a lasting effect on brain development (Nelson et al., 2020; Nelson &amp; Gabard-Durnam, 2020; Shonkoff et al., 2012). For instance, both experiences of malnutrition and exposure to stress (e.g., as a result of threat) have been linked to structural changes in brain networks involved in cognitive functioning (Algarin et al., 2017; Polavarapu &amp; Hasbani, 2017; R</w:t>
      </w:r>
      <w:r>
        <w:t>ebello et al., 2018).</w:t>
      </w:r>
    </w:p>
    <w:p w14:paraId="0400A268" w14:textId="77777777" w:rsidR="009B47CB" w:rsidRDefault="00AF1415">
      <w:pPr>
        <w:pStyle w:val="BodyText"/>
      </w:pPr>
      <w:r>
        <w:t>A second important non-preregistered finding is that after controlling for task-general processing, adversity exposure was negatively associated with several task-specific drift rates, mostly relating to childhood exposure to threat and deprivation. Importantly, the correlations among task-specific drift rates were all small—with the exception of correlations among switch and repeat conditions of the same attention shifting tasks. This suggests that these negative associations should not be interpreted as l</w:t>
      </w:r>
      <w:r>
        <w:t>ower ability-specific processing, relating to inhibition and attention shifting ability. Instead, it appears to relate to information processing that is much more specific to individual tasks. This is consistent with literature showing that a substantial part of the variance in performance on cognitive task consists of method variance resulting from the nature of the task itself, rather than what the task is designed to measure (Barkley, 2012; Rey-Mermet, 2024; Schubert et al., 2016).</w:t>
      </w:r>
    </w:p>
    <w:p w14:paraId="0400A269" w14:textId="77777777" w:rsidR="009B47CB" w:rsidRDefault="00AF1415">
      <w:pPr>
        <w:pStyle w:val="Heading2"/>
      </w:pPr>
      <w:bookmarkStart w:id="34" w:name="X857424cb4ed43a68b402d9ddd3b4479637dd3c0"/>
      <w:bookmarkEnd w:id="33"/>
      <w:r>
        <w:t>Implications for adversity research and interventions</w:t>
      </w:r>
    </w:p>
    <w:p w14:paraId="0400A26A" w14:textId="77777777" w:rsidR="009B47CB" w:rsidRDefault="00AF1415">
      <w:r>
        <w:t xml:space="preserve">Our results have two implications for adversity research and interventions, both of which warrant caution against interpreting raw performance on individual EF tasks. First, adversity appears to be associated mostly with task-general processes, rather than specific abilities. This contrasts with common inferences in both the deficit and adaptation literature, which tend to explain performance differences in terms of specific EF abilities, such as inhibition (Farah et al., </w:t>
      </w:r>
      <w:r>
        <w:lastRenderedPageBreak/>
        <w:t>2006; Fields et al., 2021; Mezzacappa, 2004; Mittal et al., 2015; Noble et al., 2005) and attention shifting (Fields et al., 2021; Howard et al., 2020; Mittal et al., 2015; Nweze et al., 2021; Young et al., 2022). Moreover, our results show that accounting for task-general processing does not guarantees that task-specific associations with adversity reflect differences in EF. Instead, negative associations with adversity appear to be partly driven by specific features of individual tasks. A general recommen</w:t>
      </w:r>
      <w:r>
        <w:t>dation for adversity research is therefore that studies should include (1) multiple EF tasks to quantify task-general processing speed, and (2) ideally two or more tasks measuring the same EF ability to quantify ability-specific processing. DDM and SEM can then be used to account for task-general and task-specific processes. For interventions, our results imply that individual EF tasks, or batteries of EF tasks each of which measures a different ability, have limited value as screening tools; and, that trai</w:t>
      </w:r>
      <w:r>
        <w:t>ning performance on such tasks is unlikely to transfer to broader, sustainable changes in EF abilities.</w:t>
      </w:r>
    </w:p>
    <w:p w14:paraId="0400A26B" w14:textId="77777777" w:rsidR="009B47CB" w:rsidRDefault="00AF1415">
      <w:pPr>
        <w:pStyle w:val="BodyText"/>
      </w:pPr>
      <w:r>
        <w:t xml:space="preserve">Our findings complicate research that aims to understand how EF abilities develop in adverse environments. We agree with others that results like ours do not necessarily mean that EF abilities do not exist (e.g., Löffler et al., 2024), or that adversity is not associated with differences in EF. Rather, it points to issues with how we </w:t>
      </w:r>
      <w:r>
        <w:rPr>
          <w:i/>
          <w:iCs/>
        </w:rPr>
        <w:t>measure</w:t>
      </w:r>
      <w:r>
        <w:t xml:space="preserve"> EF abilities. It is difficult to provide a straightforward solution for this problem, which is still a much-debated topic in cognitive psychology (Bastian et al., 2020). Part of the solution may lie in adjusting the content of EF tasks, for instance, by using real-world content rather than abstract content (Young et al., 2022). By increasing familiarity, relevance, and/or valence, such content might increase the engagement of EF abilities (Niebaum &amp; Munakata, 2023). Another solution could be to use </w:t>
      </w:r>
      <w:r>
        <w:t xml:space="preserve">adaptive testing procedures, which appear to improve estimation of EF abilities (Draheim et al., 2021). However, more fundamental changes might be necessary as well, such as developing new </w:t>
      </w:r>
      <w:r>
        <w:lastRenderedPageBreak/>
        <w:t>paradigms that align more closely to people’s everyday experiences, goals, and challenges (Doebel, 2020; Miller-Cotto et al., 2022; Niebaum &amp; Munakata, 2023).</w:t>
      </w:r>
    </w:p>
    <w:p w14:paraId="0400A26C" w14:textId="77777777" w:rsidR="009B47CB" w:rsidRDefault="00AF1415">
      <w:pPr>
        <w:pStyle w:val="Heading2"/>
      </w:pPr>
      <w:bookmarkStart w:id="35" w:name="X13f6884f7da762f585b484fdb892a9cfb2743dd"/>
      <w:bookmarkEnd w:id="34"/>
      <w:r>
        <w:t>Strengths, limitations, and future directions</w:t>
      </w:r>
    </w:p>
    <w:p w14:paraId="0400A26D" w14:textId="77777777" w:rsidR="009B47CB" w:rsidRDefault="00AF1415">
      <w:r>
        <w:t>Our study has three main strengths. First, we measured inhibition and attention shifting ability using multiple tasks for each EF ability. This approach provided two advantages: (1) we could distinguish between general versus specific processes, and (2) we could measure EF abilities without task-specific measurement error. Second, we used DDM to distinguish between evidence accumulation (EF ability, general speed of processing), response caution, and non-decision time (stimulus encoding, response execution)</w:t>
      </w:r>
      <w:r>
        <w:t>. The DDM allowed us to better understand the cognitive processes driving performance in people with more exposure to adversity. Third, we included a large, representative sample of the Dutch population sample with sufficient variance on key adversity measures.</w:t>
      </w:r>
    </w:p>
    <w:p w14:paraId="0400A26E" w14:textId="77777777" w:rsidR="009B47CB" w:rsidRDefault="00AF1415">
      <w:pPr>
        <w:pStyle w:val="BodyText"/>
      </w:pPr>
      <w:r>
        <w:t>Our study has three main limitations. First, although we included confounding variables based on explicit, theory-guided causal assumptions, the cross-sectional and partly retrospective nature of our data prohibit us from establishing true causal relationships. Second, due to time constraints, we only included two inhibition tasks and three attention shifting tasks, limiting our ability to model shared variance between them. Future studies could include more EF tasks, and ideally include several basic proce</w:t>
      </w:r>
      <w:r>
        <w:t>ssing speed tasks. Third, participants completed the cognitive tasks online in their own home. Despite our controlling for environmental factors that may have disrupted task performance, the home setting may have reduced the reliability of performance measures.</w:t>
      </w:r>
    </w:p>
    <w:p w14:paraId="0400A26F" w14:textId="77777777" w:rsidR="009B47CB" w:rsidRDefault="00AF1415">
      <w:pPr>
        <w:pStyle w:val="BodyText"/>
      </w:pPr>
      <w:r>
        <w:t xml:space="preserve">We envision three future directions. First, because adversity tends to be associated with task-general processes, it will be important to better understand the nature of these processes. To </w:t>
      </w:r>
      <w:r>
        <w:lastRenderedPageBreak/>
        <w:t>the extent that task-general drift rates reflect general processing speed, it may partly result from lower white matter tract integrity (Fuhrmann et al., 2020; Kievit et al., 2016). Such associations with structural brain differences may account for the finding that task-general drift rate is relatively stable over time (Schubert et al., 2016; Weigard &amp; Sripada, 2021). Yet, task-general drift rate may be associated with other factors such as effort, fatigue, or hunger (Weigard &amp; Sripada, 2021), which may pl</w:t>
      </w:r>
      <w:r>
        <w:t>ay a bigger role for people from adverse environments (Brose et al., 2012; Schwabe et al., 2013; Sliwinski et al., 2006). Thus, future studies may include (a combination of) brain measures or measures of mental states to better understand inter- and intrapersonal differences in task-general drift rates.</w:t>
      </w:r>
    </w:p>
    <w:p w14:paraId="0400A270" w14:textId="77777777" w:rsidR="009B47CB" w:rsidRDefault="00AF1415">
      <w:pPr>
        <w:pStyle w:val="BodyText"/>
      </w:pPr>
      <w:r>
        <w:t>Second, future research should investigate why adversity is negatively associated with task-specific drift rates. Our results suggest that task-specific drift rates mostly capture method variance rather than specific EF abilities. We currently do not have a clear explanation for their negative associations with adversity. One possible explanation might be that the associations reflect people’s difficulty with processing abstract content. Previous research found that youth with more exposure to adversity per</w:t>
      </w:r>
      <w:r>
        <w:t>formed lower on a working memory updating task (compared with youth with fewer adversity exposures) when task stimuli were abstract geometric shapes. However, their performance equalized when the task included real-world content (Young et al., 2022). All tasks in our study included abstract content, and each study used different stimuli, which may account for the negative associations with adversity and the lack of correlations between task-specific drift rates. However, if so, this would not explain the lo</w:t>
      </w:r>
      <w:r>
        <w:t>w correlations between congruent and incongruent conditions of both the Flanker and Simon task, as these conditions do include the same stimuli. Nevertheless, research could more systematically test associations between adversity and processing as a function of task content.</w:t>
      </w:r>
    </w:p>
    <w:p w14:paraId="0400A271" w14:textId="77777777" w:rsidR="009B47CB" w:rsidRDefault="00AF1415">
      <w:pPr>
        <w:pStyle w:val="BodyText"/>
      </w:pPr>
      <w:r>
        <w:lastRenderedPageBreak/>
        <w:t>Third, future research could design preregistered, well-powered analyses to tease apart the unique effects of childhood adversity and recent adversity on cognitive performance, as well as their combined effects. Our understanding of how cognitive outcomes later in life depend on the developmental timing of adversity exposure is still limited (Frankenhuis et al., 2020). In this study, we assumed that recent adversity exposure mediates the effect of childhood adversity exposure on cognitive processes, as peop</w:t>
      </w:r>
      <w:r>
        <w:t>le who experienced adversity early in life are more likely to also experience adversity later in life (e.g., due to systemic constraints; Hazel et al. (2008)). Our study focused on adversity in adulthood, the average or summed adversity exposure over the past few years. Future research should distinguish such recent adversity from acute stress. For instance, some research suggests that childhood adversity enhances specific EF abilities, but only under situations of acute stress (Mittal et al., 2015; Young e</w:t>
      </w:r>
      <w:r>
        <w:t>t al., 2018). Thus, future research should tease apart effects of adversity during childhood and adulthood and study how their effects are moderated by acute stress.</w:t>
      </w:r>
    </w:p>
    <w:p w14:paraId="0400A272" w14:textId="77777777" w:rsidR="009B47CB" w:rsidRDefault="00AF1415">
      <w:pPr>
        <w:pStyle w:val="Heading2"/>
      </w:pPr>
      <w:bookmarkStart w:id="36" w:name="constraints-on-generality"/>
      <w:bookmarkEnd w:id="35"/>
      <w:r>
        <w:t>Constraints on generality</w:t>
      </w:r>
    </w:p>
    <w:p w14:paraId="0400A273" w14:textId="77777777" w:rsidR="009B47CB" w:rsidRDefault="00AF1415">
      <w:r>
        <w:t xml:space="preserve">Our research question concerned the association between adversity exposure and performance on EF tasks, using cognitive modeling to investigate whether these associations are driven by task-general processing speed or specific EF abilities. Our target population was Dutch adults with a broad range of adversity exposures. The LISS panel ensures representation of the Dutch adult population in terms of—among other factors—age, education, and socioeconomic status. Our findings may generalize to adults in other </w:t>
      </w:r>
      <w:r>
        <w:t xml:space="preserve">Western populations, but not necessarily to adults in non-Western populations (Nketia et al., 2023). We used standardized inhibition and attention-shifting tasks that are often used in cognitive psychology. The findings should generalize to other tasks used to measure these abilities, as long as they rely on speeded </w:t>
      </w:r>
      <w:r>
        <w:lastRenderedPageBreak/>
        <w:t>responses. All tasks included abstract stimuli (e.g., geometric shapes, words). Results are likely to be different when using more real-world stimuli, or when changing the tasks in other ways to</w:t>
      </w:r>
      <w:r>
        <w:t xml:space="preserve"> align them with people’s lived experiences (Doebel, 2020; Miller-Cotto et al., 2022; Young et al., 2022). Participants completed the study online in their home environment. To reproduce the effects, it is important to carefully instruct participants to limit environmental distractions and complete the study in full-screen mode. The results should generalize to more standardized settings (e.g., the lab), but may not generalize to public settings outside of the home environment.</w:t>
      </w:r>
    </w:p>
    <w:p w14:paraId="0400A274" w14:textId="77777777" w:rsidR="009B47CB" w:rsidRDefault="00AF1415">
      <w:pPr>
        <w:pStyle w:val="Heading2"/>
      </w:pPr>
      <w:bookmarkStart w:id="37" w:name="conclusion"/>
      <w:bookmarkEnd w:id="36"/>
      <w:r>
        <w:t>Conclusion</w:t>
      </w:r>
    </w:p>
    <w:p w14:paraId="0400A275" w14:textId="77777777" w:rsidR="009B47CB" w:rsidRDefault="00AF1415">
      <w:r>
        <w:t>Adversity research has made important steps in recent years, revealing how exposure to adversity may impair certain EF abilities while enhancing others. Further progress in this field hinges on our capacity to accurately measure specific EF abilities. We show, consistent with previous research, that this is a more challenging task than typically assumed. As a result, adversity researchers likely overestimate the strength of associations between adversity and EF abilities when only analyzing raw performance.</w:t>
      </w:r>
      <w:r>
        <w:t xml:space="preserve"> We present a way forward by building on a combination of cognitive modeling and structural equation modeling. Embracing these techniques, and revising theories in light of their findings, will enhance our understanding of how exposure to adversity shapes EF.</w:t>
      </w:r>
    </w:p>
    <w:p w14:paraId="0400A276" w14:textId="77777777" w:rsidR="009B47CB" w:rsidRDefault="00AF1415">
      <w:r>
        <w:br w:type="page"/>
      </w:r>
    </w:p>
    <w:p w14:paraId="0400A277" w14:textId="77777777" w:rsidR="009B47CB" w:rsidRDefault="00AF1415">
      <w:pPr>
        <w:pStyle w:val="Heading1"/>
      </w:pPr>
      <w:bookmarkStart w:id="38" w:name="references"/>
      <w:bookmarkEnd w:id="37"/>
      <w:bookmarkEnd w:id="31"/>
      <w:r>
        <w:lastRenderedPageBreak/>
        <w:t>References</w:t>
      </w:r>
    </w:p>
    <w:p w14:paraId="0400A278" w14:textId="77777777" w:rsidR="009B47CB" w:rsidRDefault="00AF1415">
      <w:pPr>
        <w:pStyle w:val="Bibliography"/>
      </w:pPr>
      <w:bookmarkStart w:id="39" w:name="ref-algarin_2017"/>
      <w:bookmarkStart w:id="40" w:name="refs"/>
      <w:r>
        <w:t xml:space="preserve">Algarin, C., Karunakaran, K. D., Reyes, S., Morales, C., Lozoff, B., Peirano, P., &amp; Biswal, B. (2017). Differences on brain connectivity in adulthood are present in subjects with iron deficiency anemia in infancy. </w:t>
      </w:r>
      <w:r>
        <w:rPr>
          <w:i/>
          <w:iCs/>
        </w:rPr>
        <w:t>Frontiers in Aging Neuroscience</w:t>
      </w:r>
      <w:r>
        <w:t xml:space="preserve">, </w:t>
      </w:r>
      <w:r>
        <w:rPr>
          <w:i/>
          <w:iCs/>
        </w:rPr>
        <w:t>9</w:t>
      </w:r>
      <w:r>
        <w:t xml:space="preserve">. </w:t>
      </w:r>
      <w:hyperlink r:id="rId21">
        <w:r>
          <w:rPr>
            <w:rStyle w:val="Hyperlink"/>
          </w:rPr>
          <w:t>https://doi.org/10.3389/fnagi.2017.00054</w:t>
        </w:r>
      </w:hyperlink>
    </w:p>
    <w:p w14:paraId="0400A279" w14:textId="77777777" w:rsidR="009B47CB" w:rsidRDefault="00AF1415">
      <w:pPr>
        <w:pStyle w:val="Bibliography"/>
      </w:pPr>
      <w:bookmarkStart w:id="41" w:name="ref-ankan_2021"/>
      <w:bookmarkEnd w:id="39"/>
      <w:r>
        <w:t xml:space="preserve">Ankan, A., Wortel, I. M. N., &amp; Textor, J. (2021). Testing graphical causal models using the R package “dagitty.” </w:t>
      </w:r>
      <w:r>
        <w:rPr>
          <w:i/>
          <w:iCs/>
        </w:rPr>
        <w:t>Current Protocols</w:t>
      </w:r>
      <w:r>
        <w:t xml:space="preserve">, </w:t>
      </w:r>
      <w:r>
        <w:rPr>
          <w:i/>
          <w:iCs/>
        </w:rPr>
        <w:t>1</w:t>
      </w:r>
      <w:r>
        <w:t xml:space="preserve">(2), e45. </w:t>
      </w:r>
      <w:hyperlink r:id="rId22">
        <w:r>
          <w:rPr>
            <w:rStyle w:val="Hyperlink"/>
          </w:rPr>
          <w:t>https://doi.org/10.1002/cpz1.45</w:t>
        </w:r>
      </w:hyperlink>
    </w:p>
    <w:p w14:paraId="0400A27A" w14:textId="77777777" w:rsidR="009B47CB" w:rsidRDefault="00AF1415">
      <w:pPr>
        <w:pStyle w:val="Bibliography"/>
      </w:pPr>
      <w:bookmarkStart w:id="42" w:name="ref-arrington_2004"/>
      <w:bookmarkEnd w:id="41"/>
      <w:r>
        <w:t xml:space="preserve">Arrington, C. M., &amp; Logan, G. D. (2004). The cost of a voluntary task switch. </w:t>
      </w:r>
      <w:r>
        <w:rPr>
          <w:i/>
          <w:iCs/>
        </w:rPr>
        <w:t>Psychological Science</w:t>
      </w:r>
      <w:r>
        <w:t xml:space="preserve">, </w:t>
      </w:r>
      <w:r>
        <w:rPr>
          <w:i/>
          <w:iCs/>
        </w:rPr>
        <w:t>15</w:t>
      </w:r>
      <w:r>
        <w:t xml:space="preserve">(9), 610–615. </w:t>
      </w:r>
      <w:hyperlink r:id="rId23">
        <w:r>
          <w:rPr>
            <w:rStyle w:val="Hyperlink"/>
          </w:rPr>
          <w:t>https://doi.org/10.1111/j.0956-7976.2004.00728.x</w:t>
        </w:r>
      </w:hyperlink>
    </w:p>
    <w:p w14:paraId="0400A27B" w14:textId="77777777" w:rsidR="009B47CB" w:rsidRDefault="00AF1415">
      <w:pPr>
        <w:pStyle w:val="Bibliography"/>
      </w:pPr>
      <w:bookmarkStart w:id="43" w:name="ref-barkley_2012"/>
      <w:bookmarkEnd w:id="42"/>
      <w:r>
        <w:t xml:space="preserve">Barkley, R. A. (2012). </w:t>
      </w:r>
      <w:r>
        <w:rPr>
          <w:i/>
          <w:iCs/>
        </w:rPr>
        <w:t>Executive functions: What they are, how they work, and why they evolved</w:t>
      </w:r>
      <w:r>
        <w:t>. Guilford Press.</w:t>
      </w:r>
    </w:p>
    <w:p w14:paraId="0400A27C" w14:textId="77777777" w:rsidR="009B47CB" w:rsidRDefault="00AF1415">
      <w:pPr>
        <w:pStyle w:val="Bibliography"/>
      </w:pPr>
      <w:bookmarkStart w:id="44" w:name="ref-vonbastian_2020"/>
      <w:bookmarkEnd w:id="43"/>
      <w:r>
        <w:t xml:space="preserve">Bastian, C. C. von, Blais, C., Brewer, G., Gyurkovics, M., Hedge, C., Kałamała, P., Meier, M., Oberauer, K., Rey-Mermet, A., Rouder, J. N., Souza, A. S., Bartsch, L. M., Conway, A. R. A., Draheim, C., Engle, R. W., Friedman, N. P., Frischkorn, G. T., Gustavson, D. E., Koch, I., … Wiemers, E. (2020). </w:t>
      </w:r>
      <w:r>
        <w:rPr>
          <w:i/>
          <w:iCs/>
        </w:rPr>
        <w:t>Advancing the understanding of individual differences in attentional control: Theoretical, methodological, and analytical considerations</w:t>
      </w:r>
      <w:r>
        <w:t xml:space="preserve">. PsyArXiv. </w:t>
      </w:r>
      <w:hyperlink r:id="rId24">
        <w:r>
          <w:rPr>
            <w:rStyle w:val="Hyperlink"/>
          </w:rPr>
          <w:t>https://doi.org/10.31234/osf.io/x3b9k</w:t>
        </w:r>
      </w:hyperlink>
    </w:p>
    <w:p w14:paraId="0400A27D" w14:textId="77777777" w:rsidR="009B47CB" w:rsidRPr="002C192A" w:rsidRDefault="00AF1415">
      <w:pPr>
        <w:pStyle w:val="Bibliography"/>
        <w:rPr>
          <w:lang w:val="nl-NL"/>
        </w:rPr>
      </w:pPr>
      <w:bookmarkStart w:id="45" w:name="ref-bignardi_2024"/>
      <w:bookmarkEnd w:id="44"/>
      <w:r>
        <w:t xml:space="preserve">Bignardi, G., Mareva, S., &amp; Astle, D. E. (2024). Parental socioeconomic status weakly predicts specific cognitive and academic skills beyond general cognitive ability. </w:t>
      </w:r>
      <w:r w:rsidRPr="002C192A">
        <w:rPr>
          <w:i/>
          <w:iCs/>
          <w:lang w:val="nl-NL"/>
        </w:rPr>
        <w:t>Developmental Science</w:t>
      </w:r>
      <w:r w:rsidRPr="002C192A">
        <w:rPr>
          <w:lang w:val="nl-NL"/>
        </w:rPr>
        <w:t xml:space="preserve">, </w:t>
      </w:r>
      <w:r w:rsidRPr="002C192A">
        <w:rPr>
          <w:i/>
          <w:iCs/>
          <w:lang w:val="nl-NL"/>
        </w:rPr>
        <w:t>27</w:t>
      </w:r>
      <w:r w:rsidRPr="002C192A">
        <w:rPr>
          <w:lang w:val="nl-NL"/>
        </w:rPr>
        <w:t xml:space="preserve">(2), e13451. </w:t>
      </w:r>
      <w:hyperlink r:id="rId25">
        <w:r w:rsidRPr="002C192A">
          <w:rPr>
            <w:rStyle w:val="Hyperlink"/>
            <w:lang w:val="nl-NL"/>
          </w:rPr>
          <w:t>https://doi.org/10.1111/desc.13451</w:t>
        </w:r>
      </w:hyperlink>
    </w:p>
    <w:p w14:paraId="0400A27E" w14:textId="77777777" w:rsidR="009B47CB" w:rsidRDefault="00AF1415">
      <w:pPr>
        <w:pStyle w:val="Bibliography"/>
      </w:pPr>
      <w:bookmarkStart w:id="46" w:name="ref-bij_2003"/>
      <w:bookmarkEnd w:id="45"/>
      <w:r w:rsidRPr="002C192A">
        <w:rPr>
          <w:lang w:val="nl-NL"/>
        </w:rPr>
        <w:t xml:space="preserve">Bij, A. K. van der, Weerd, S. de, Cikot, R. J. L. M., Steegers, E. A. P., &amp; Braspenning, J. C. C. (2003). </w:t>
      </w:r>
      <w:r>
        <w:t>Validation of the Dutch Short Form of the State Scale of the Spielberger State-</w:t>
      </w:r>
      <w:r>
        <w:lastRenderedPageBreak/>
        <w:t xml:space="preserve">Trait Anxiety Inventory: Considerations for Usage in Screening Outcomes. </w:t>
      </w:r>
      <w:r>
        <w:rPr>
          <w:i/>
          <w:iCs/>
        </w:rPr>
        <w:t>Community Genetics</w:t>
      </w:r>
      <w:r>
        <w:t xml:space="preserve">, </w:t>
      </w:r>
      <w:r>
        <w:rPr>
          <w:i/>
          <w:iCs/>
        </w:rPr>
        <w:t>6</w:t>
      </w:r>
      <w:r>
        <w:t xml:space="preserve">(2), 84–87. </w:t>
      </w:r>
      <w:hyperlink r:id="rId26">
        <w:r>
          <w:rPr>
            <w:rStyle w:val="Hyperlink"/>
          </w:rPr>
          <w:t>https://doi.org/10.1159/000073003</w:t>
        </w:r>
      </w:hyperlink>
    </w:p>
    <w:p w14:paraId="0400A27F" w14:textId="77777777" w:rsidR="009B47CB" w:rsidRDefault="00AF1415">
      <w:pPr>
        <w:pStyle w:val="Bibliography"/>
      </w:pPr>
      <w:bookmarkStart w:id="47" w:name="ref-bos_2009"/>
      <w:bookmarkEnd w:id="46"/>
      <w:r>
        <w:t xml:space="preserve">Bos, K. J., Fox, N., Zeanah, C. H., &amp; Nelson III, C. A. (2009). Effects of early psychosocial deprivation on the development of memory and executive function. </w:t>
      </w:r>
      <w:r>
        <w:rPr>
          <w:i/>
          <w:iCs/>
        </w:rPr>
        <w:t>Frontiers in Behavioral Neuroscience</w:t>
      </w:r>
      <w:r>
        <w:t xml:space="preserve">, </w:t>
      </w:r>
      <w:r>
        <w:rPr>
          <w:i/>
          <w:iCs/>
        </w:rPr>
        <w:t>3</w:t>
      </w:r>
      <w:r>
        <w:t xml:space="preserve">, 16. </w:t>
      </w:r>
      <w:hyperlink r:id="rId27">
        <w:r>
          <w:rPr>
            <w:rStyle w:val="Hyperlink"/>
          </w:rPr>
          <w:t>https://doi.org/10.3389/neuro.08.016.2009</w:t>
        </w:r>
      </w:hyperlink>
    </w:p>
    <w:p w14:paraId="0400A280" w14:textId="77777777" w:rsidR="009B47CB" w:rsidRPr="002C192A" w:rsidRDefault="00AF1415">
      <w:pPr>
        <w:pStyle w:val="Bibliography"/>
        <w:rPr>
          <w:lang w:val="nl-NL"/>
        </w:rPr>
      </w:pPr>
      <w:bookmarkStart w:id="48" w:name="ref-braem_2017"/>
      <w:bookmarkEnd w:id="47"/>
      <w:r>
        <w:t xml:space="preserve">Braem, S. (2017). Conditioning task switching behavior. </w:t>
      </w:r>
      <w:r>
        <w:rPr>
          <w:i/>
          <w:iCs/>
        </w:rPr>
        <w:t>Cognition</w:t>
      </w:r>
      <w:r>
        <w:t xml:space="preserve">, </w:t>
      </w:r>
      <w:r>
        <w:rPr>
          <w:i/>
          <w:iCs/>
        </w:rPr>
        <w:t>166</w:t>
      </w:r>
      <w:r>
        <w:t xml:space="preserve">, 272–276. </w:t>
      </w:r>
      <w:hyperlink r:id="rId28">
        <w:r w:rsidRPr="002C192A">
          <w:rPr>
            <w:rStyle w:val="Hyperlink"/>
            <w:lang w:val="nl-NL"/>
          </w:rPr>
          <w:t>https://doi.org/10.1016/j.cognition.2017.05.037</w:t>
        </w:r>
      </w:hyperlink>
    </w:p>
    <w:p w14:paraId="0400A281" w14:textId="77777777" w:rsidR="009B47CB" w:rsidRDefault="00AF1415">
      <w:pPr>
        <w:pStyle w:val="Bibliography"/>
      </w:pPr>
      <w:bookmarkStart w:id="49" w:name="ref-brose_2012"/>
      <w:bookmarkEnd w:id="48"/>
      <w:r w:rsidRPr="002C192A">
        <w:rPr>
          <w:lang w:val="nl-NL"/>
        </w:rPr>
        <w:t xml:space="preserve">Brose, A., Schmiedek, F., Lövdén, M., &amp; Lindenberger, U. (2012). </w:t>
      </w:r>
      <w:r>
        <w:t xml:space="preserve">Daily variability in working memory is coupled with negative affect: The role of attention and motivation. </w:t>
      </w:r>
      <w:r>
        <w:rPr>
          <w:i/>
          <w:iCs/>
        </w:rPr>
        <w:t>Emotion (Washington, D.C.)</w:t>
      </w:r>
      <w:r>
        <w:t xml:space="preserve">, </w:t>
      </w:r>
      <w:r>
        <w:rPr>
          <w:i/>
          <w:iCs/>
        </w:rPr>
        <w:t>12</w:t>
      </w:r>
      <w:r>
        <w:t xml:space="preserve">(3), 605–617. </w:t>
      </w:r>
      <w:hyperlink r:id="rId29">
        <w:r>
          <w:rPr>
            <w:rStyle w:val="Hyperlink"/>
          </w:rPr>
          <w:t>https://doi.org/10.1037/a0024436</w:t>
        </w:r>
      </w:hyperlink>
    </w:p>
    <w:p w14:paraId="0400A282" w14:textId="77777777" w:rsidR="009B47CB" w:rsidRDefault="00AF1415">
      <w:pPr>
        <w:pStyle w:val="Bibliography"/>
      </w:pPr>
      <w:bookmarkStart w:id="50" w:name="ref-bywaters_2016"/>
      <w:bookmarkEnd w:id="49"/>
      <w:r>
        <w:t xml:space="preserve">Bywaters, P., Bunting, L., Davidson, G., Hanratty, J., Mason, W., McCartan, C., &amp; Steils, N. (2016). The relationship between poverty, child abuse and neglect: An evidence review. </w:t>
      </w:r>
      <w:r>
        <w:rPr>
          <w:i/>
          <w:iCs/>
        </w:rPr>
        <w:t>York: Joseph Rowntree Foundation</w:t>
      </w:r>
      <w:r>
        <w:t>.</w:t>
      </w:r>
    </w:p>
    <w:p w14:paraId="0400A283" w14:textId="77777777" w:rsidR="009B47CB" w:rsidRDefault="00AF1415">
      <w:pPr>
        <w:pStyle w:val="Bibliography"/>
      </w:pPr>
      <w:bookmarkStart w:id="51" w:name="ref-denwood_2016"/>
      <w:bookmarkEnd w:id="50"/>
      <w:r>
        <w:t xml:space="preserve">Denwood, M. J. (2016). Runjags: An R package providing interface utilities, model templates,parallel computing methods and additional distributions for MCMC models in JAGS. </w:t>
      </w:r>
      <w:r>
        <w:rPr>
          <w:i/>
          <w:iCs/>
        </w:rPr>
        <w:t>Journal of Statistical Software</w:t>
      </w:r>
      <w:r>
        <w:t xml:space="preserve">, </w:t>
      </w:r>
      <w:r>
        <w:rPr>
          <w:i/>
          <w:iCs/>
        </w:rPr>
        <w:t>71</w:t>
      </w:r>
      <w:r>
        <w:t xml:space="preserve">, 1–25. </w:t>
      </w:r>
      <w:hyperlink r:id="rId30">
        <w:r>
          <w:rPr>
            <w:rStyle w:val="Hyperlink"/>
          </w:rPr>
          <w:t>https://doi.org/10.18637/jss.v071.i09</w:t>
        </w:r>
      </w:hyperlink>
    </w:p>
    <w:p w14:paraId="0400A284" w14:textId="77777777" w:rsidR="009B47CB" w:rsidRDefault="00AF1415">
      <w:pPr>
        <w:pStyle w:val="Bibliography"/>
      </w:pPr>
      <w:bookmarkStart w:id="52" w:name="ref-distefano_2021"/>
      <w:bookmarkEnd w:id="51"/>
      <w:r>
        <w:t xml:space="preserve">Distefano, R., Fiat, A. E., Merrick, J. S., Slotkin, J., Zelazo, P. D., Carlson, S. M., &amp; Masten, A. S. (2021). NIH Toolbox executive function measures with developmental extensions: Reliability and validity with preschoolers in emergency housing. </w:t>
      </w:r>
      <w:r>
        <w:rPr>
          <w:i/>
          <w:iCs/>
        </w:rPr>
        <w:t>Child Neuropsychology</w:t>
      </w:r>
      <w:r>
        <w:t xml:space="preserve">, </w:t>
      </w:r>
      <w:r>
        <w:rPr>
          <w:i/>
          <w:iCs/>
        </w:rPr>
        <w:t>27</w:t>
      </w:r>
      <w:r>
        <w:t xml:space="preserve">(6), 709–717. </w:t>
      </w:r>
      <w:hyperlink r:id="rId31">
        <w:r>
          <w:rPr>
            <w:rStyle w:val="Hyperlink"/>
          </w:rPr>
          <w:t>https://doi.org/10.1080/09297049.2021.1888905</w:t>
        </w:r>
      </w:hyperlink>
    </w:p>
    <w:p w14:paraId="0400A285" w14:textId="77777777" w:rsidR="009B47CB" w:rsidRDefault="00AF1415">
      <w:pPr>
        <w:pStyle w:val="Bibliography"/>
      </w:pPr>
      <w:bookmarkStart w:id="53" w:name="ref-doebel_2020"/>
      <w:bookmarkEnd w:id="52"/>
      <w:r>
        <w:t xml:space="preserve">Doebel, S. (2020). Rethinking executive function and its development. </w:t>
      </w:r>
      <w:r>
        <w:rPr>
          <w:i/>
          <w:iCs/>
        </w:rPr>
        <w:t>Perspectives on Psychological Science</w:t>
      </w:r>
      <w:r>
        <w:t xml:space="preserve">, </w:t>
      </w:r>
      <w:r>
        <w:rPr>
          <w:i/>
          <w:iCs/>
        </w:rPr>
        <w:t>15</w:t>
      </w:r>
      <w:r>
        <w:t>(4), 942–956.</w:t>
      </w:r>
    </w:p>
    <w:p w14:paraId="0400A286" w14:textId="77777777" w:rsidR="009B47CB" w:rsidRDefault="00AF1415">
      <w:pPr>
        <w:pStyle w:val="Bibliography"/>
      </w:pPr>
      <w:bookmarkStart w:id="54" w:name="ref-draheim_2021b"/>
      <w:bookmarkEnd w:id="53"/>
      <w:r>
        <w:lastRenderedPageBreak/>
        <w:t xml:space="preserve">Draheim, C., Tsukahara, J. S., Martin, J. D., Mashburn, C. A., &amp; Engle, R. W. (2021). A toolbox approach to improving the measurement of attention control. </w:t>
      </w:r>
      <w:r>
        <w:rPr>
          <w:i/>
          <w:iCs/>
        </w:rPr>
        <w:t>Journal of Experimental Psychology: General</w:t>
      </w:r>
      <w:r>
        <w:t xml:space="preserve">, </w:t>
      </w:r>
      <w:r>
        <w:rPr>
          <w:i/>
          <w:iCs/>
        </w:rPr>
        <w:t>150</w:t>
      </w:r>
      <w:r>
        <w:t xml:space="preserve">(2), 242–275. </w:t>
      </w:r>
      <w:hyperlink r:id="rId32">
        <w:r>
          <w:rPr>
            <w:rStyle w:val="Hyperlink"/>
          </w:rPr>
          <w:t>https://doi.org/10.1037/xge0000783</w:t>
        </w:r>
      </w:hyperlink>
    </w:p>
    <w:p w14:paraId="0400A287" w14:textId="77777777" w:rsidR="009B47CB" w:rsidRDefault="00AF1415">
      <w:pPr>
        <w:pStyle w:val="Bibliography"/>
      </w:pPr>
      <w:bookmarkStart w:id="55" w:name="ref-ellis_2022"/>
      <w:bookmarkEnd w:id="54"/>
      <w:r>
        <w:t xml:space="preserve">Ellis, B. J., Abrams, L., Masten, A., Sternberg, R., Tottenham, N., &amp; Frankenhuis, W. (2022). Hidden talents in harsh environments. </w:t>
      </w:r>
      <w:r>
        <w:rPr>
          <w:i/>
          <w:iCs/>
        </w:rPr>
        <w:t>Development and Psychopathology</w:t>
      </w:r>
      <w:r>
        <w:t xml:space="preserve">, </w:t>
      </w:r>
      <w:r>
        <w:rPr>
          <w:i/>
          <w:iCs/>
        </w:rPr>
        <w:t>34</w:t>
      </w:r>
      <w:r>
        <w:t xml:space="preserve">, 95–113. </w:t>
      </w:r>
      <w:hyperlink r:id="rId33">
        <w:r>
          <w:rPr>
            <w:rStyle w:val="Hyperlink"/>
          </w:rPr>
          <w:t>https://doi.org/10.1017/S0954579420000887</w:t>
        </w:r>
      </w:hyperlink>
    </w:p>
    <w:p w14:paraId="0400A288" w14:textId="77777777" w:rsidR="009B47CB" w:rsidRDefault="00AF1415">
      <w:pPr>
        <w:pStyle w:val="Bibliography"/>
      </w:pPr>
      <w:bookmarkStart w:id="56" w:name="ref-eriksen_1974"/>
      <w:bookmarkEnd w:id="55"/>
      <w:r w:rsidRPr="002C192A">
        <w:rPr>
          <w:lang w:val="nl-NL"/>
        </w:rPr>
        <w:t xml:space="preserve">Eriksen, B. A., &amp; Eriksen, C. W. (1974). </w:t>
      </w:r>
      <w:r>
        <w:t xml:space="preserve">Effects of noise letters upon the identification of a target letter in a nonsearch task. </w:t>
      </w:r>
      <w:r>
        <w:rPr>
          <w:i/>
          <w:iCs/>
        </w:rPr>
        <w:t>Perception &amp; Psychophysics</w:t>
      </w:r>
      <w:r>
        <w:t xml:space="preserve">, </w:t>
      </w:r>
      <w:r>
        <w:rPr>
          <w:i/>
          <w:iCs/>
        </w:rPr>
        <w:t>16</w:t>
      </w:r>
      <w:r>
        <w:t>(1), 143–149. https://doi.org/</w:t>
      </w:r>
      <w:hyperlink r:id="rId34">
        <w:r>
          <w:rPr>
            <w:rStyle w:val="Hyperlink"/>
          </w:rPr>
          <w:t>https://doi.org/10.3758/BF03203267</w:t>
        </w:r>
      </w:hyperlink>
    </w:p>
    <w:p w14:paraId="0400A289" w14:textId="77777777" w:rsidR="009B47CB" w:rsidRDefault="00AF1415">
      <w:pPr>
        <w:pStyle w:val="Bibliography"/>
      </w:pPr>
      <w:bookmarkStart w:id="57" w:name="ref-farah_2006"/>
      <w:bookmarkEnd w:id="56"/>
      <w:r>
        <w:t xml:space="preserve">Farah, M. J., Shera, D. M., Savage, J. H., Betancourt, L., Giannetta, J. M., Brodsky, N. L., Malmud, E. K., &amp; Hurt, H. (2006). Childhood poverty: Specific associations with neurocognitive development. </w:t>
      </w:r>
      <w:r>
        <w:rPr>
          <w:i/>
          <w:iCs/>
        </w:rPr>
        <w:t>Brain Research</w:t>
      </w:r>
      <w:r>
        <w:t xml:space="preserve">, </w:t>
      </w:r>
      <w:r>
        <w:rPr>
          <w:i/>
          <w:iCs/>
        </w:rPr>
        <w:t>1110</w:t>
      </w:r>
      <w:r>
        <w:t xml:space="preserve">(1), 166–174. </w:t>
      </w:r>
      <w:hyperlink r:id="rId35">
        <w:r>
          <w:rPr>
            <w:rStyle w:val="Hyperlink"/>
          </w:rPr>
          <w:t>https://doi.org/10.1016/j.brainres.2006.06.072</w:t>
        </w:r>
      </w:hyperlink>
    </w:p>
    <w:p w14:paraId="0400A28A" w14:textId="77777777" w:rsidR="009B47CB" w:rsidRDefault="00AF1415">
      <w:pPr>
        <w:pStyle w:val="Bibliography"/>
      </w:pPr>
      <w:bookmarkStart w:id="58" w:name="ref-fields_2021"/>
      <w:bookmarkEnd w:id="57"/>
      <w:r>
        <w:t xml:space="preserve">Fields, A., Bloom, P. A., VanTieghem, M., Harmon, C., Choy, T., Camacho, N. L., Gibson, L., Umbach, R., Heleniak, C., &amp; Tottenham, N. (2021). Adaptation in the face of adversity: Decrements and enhancements in children’s cognitive control behavior following early caregiving instability. </w:t>
      </w:r>
      <w:r>
        <w:rPr>
          <w:i/>
          <w:iCs/>
        </w:rPr>
        <w:t>Developmental Science</w:t>
      </w:r>
      <w:r>
        <w:t xml:space="preserve">, </w:t>
      </w:r>
      <w:r>
        <w:rPr>
          <w:i/>
          <w:iCs/>
        </w:rPr>
        <w:t>24</w:t>
      </w:r>
      <w:r>
        <w:t xml:space="preserve">(6), e13133. </w:t>
      </w:r>
      <w:hyperlink r:id="rId36">
        <w:r>
          <w:rPr>
            <w:rStyle w:val="Hyperlink"/>
          </w:rPr>
          <w:t>https://doi.org/10.1111/desc.13133</w:t>
        </w:r>
      </w:hyperlink>
    </w:p>
    <w:p w14:paraId="0400A28B" w14:textId="77777777" w:rsidR="009B47CB" w:rsidRDefault="00AF1415">
      <w:pPr>
        <w:pStyle w:val="Bibliography"/>
      </w:pPr>
      <w:bookmarkStart w:id="59" w:name="ref-forstmann_2016"/>
      <w:bookmarkEnd w:id="58"/>
      <w:r>
        <w:t xml:space="preserve">Forstmann, B. U., Ratcliff, R., &amp; Wagenmakers, E.-J. (2016). Sequential sampling models in cognitive neuroscience: Advantages, applications, and extensions. </w:t>
      </w:r>
      <w:r>
        <w:rPr>
          <w:i/>
          <w:iCs/>
        </w:rPr>
        <w:t>Annual Review of Psychology</w:t>
      </w:r>
      <w:r>
        <w:t xml:space="preserve">, </w:t>
      </w:r>
      <w:r>
        <w:rPr>
          <w:i/>
          <w:iCs/>
        </w:rPr>
        <w:t>67</w:t>
      </w:r>
      <w:r>
        <w:t xml:space="preserve">(1), 641–666. </w:t>
      </w:r>
      <w:hyperlink r:id="rId37">
        <w:r>
          <w:rPr>
            <w:rStyle w:val="Hyperlink"/>
          </w:rPr>
          <w:t>https://doi.org/10.1146/annurev-psych-122414-033645</w:t>
        </w:r>
      </w:hyperlink>
    </w:p>
    <w:p w14:paraId="0400A28C" w14:textId="77777777" w:rsidR="009B47CB" w:rsidRPr="002C192A" w:rsidRDefault="00AF1415">
      <w:pPr>
        <w:pStyle w:val="Bibliography"/>
        <w:rPr>
          <w:lang w:val="nl-NL"/>
        </w:rPr>
      </w:pPr>
      <w:bookmarkStart w:id="60" w:name="ref-frankenhuis_2018"/>
      <w:bookmarkEnd w:id="59"/>
      <w:r>
        <w:lastRenderedPageBreak/>
        <w:t xml:space="preserve">Frankenhuis, W. E., &amp; Bijlstra, G. (2018). Does exposure to hostile environments predict enhanced emotion detection? </w:t>
      </w:r>
      <w:r w:rsidRPr="002C192A">
        <w:rPr>
          <w:i/>
          <w:iCs/>
          <w:lang w:val="nl-NL"/>
        </w:rPr>
        <w:t>Collabra: Psychology</w:t>
      </w:r>
      <w:r w:rsidRPr="002C192A">
        <w:rPr>
          <w:lang w:val="nl-NL"/>
        </w:rPr>
        <w:t xml:space="preserve">, </w:t>
      </w:r>
      <w:r w:rsidRPr="002C192A">
        <w:rPr>
          <w:i/>
          <w:iCs/>
          <w:lang w:val="nl-NL"/>
        </w:rPr>
        <w:t>4</w:t>
      </w:r>
      <w:r w:rsidRPr="002C192A">
        <w:rPr>
          <w:lang w:val="nl-NL"/>
        </w:rPr>
        <w:t>(1), 18. https://doi.org/</w:t>
      </w:r>
      <w:hyperlink r:id="rId38">
        <w:r w:rsidRPr="002C192A">
          <w:rPr>
            <w:rStyle w:val="Hyperlink"/>
            <w:lang w:val="nl-NL"/>
          </w:rPr>
          <w:t>https://doi.org/10.1525/collabra.127</w:t>
        </w:r>
      </w:hyperlink>
    </w:p>
    <w:p w14:paraId="0400A28D" w14:textId="77777777" w:rsidR="009B47CB" w:rsidRDefault="00AF1415">
      <w:pPr>
        <w:pStyle w:val="Bibliography"/>
      </w:pPr>
      <w:bookmarkStart w:id="61" w:name="ref-frankenhuis_2013"/>
      <w:bookmarkEnd w:id="60"/>
      <w:r w:rsidRPr="002C192A">
        <w:rPr>
          <w:lang w:val="nl-NL"/>
        </w:rPr>
        <w:t xml:space="preserve">Frankenhuis, W. E., &amp; Weerth, C. de. </w:t>
      </w:r>
      <w:r>
        <w:t xml:space="preserve">(2013). Does early-life exposure to stress shape or impair cognition? </w:t>
      </w:r>
      <w:r>
        <w:rPr>
          <w:i/>
          <w:iCs/>
        </w:rPr>
        <w:t>Current Directions in Psychological Science</w:t>
      </w:r>
      <w:r>
        <w:t xml:space="preserve">, </w:t>
      </w:r>
      <w:r>
        <w:rPr>
          <w:i/>
          <w:iCs/>
        </w:rPr>
        <w:t>22</w:t>
      </w:r>
      <w:r>
        <w:t xml:space="preserve">(5), 407–412. </w:t>
      </w:r>
      <w:hyperlink r:id="rId39">
        <w:r>
          <w:rPr>
            <w:rStyle w:val="Hyperlink"/>
          </w:rPr>
          <w:t>https://doi.org/10.1177/0963721413484324</w:t>
        </w:r>
      </w:hyperlink>
    </w:p>
    <w:p w14:paraId="0400A28E" w14:textId="77777777" w:rsidR="009B47CB" w:rsidRDefault="00AF1415">
      <w:pPr>
        <w:pStyle w:val="Bibliography"/>
      </w:pPr>
      <w:bookmarkStart w:id="62" w:name="ref-frankenhuis_2020"/>
      <w:bookmarkEnd w:id="61"/>
      <w:r>
        <w:t xml:space="preserve">Frankenhuis, W. E., Young, E. S., &amp; Ellis, B. J. (2020). The hidden talents approach: Theoretical and methodological challenges. </w:t>
      </w:r>
      <w:r>
        <w:rPr>
          <w:i/>
          <w:iCs/>
        </w:rPr>
        <w:t>Trends in Cognitive Sciences</w:t>
      </w:r>
      <w:r>
        <w:t xml:space="preserve">, </w:t>
      </w:r>
      <w:r>
        <w:rPr>
          <w:i/>
          <w:iCs/>
        </w:rPr>
        <w:t>24</w:t>
      </w:r>
      <w:r>
        <w:t xml:space="preserve">(7), 569–581. </w:t>
      </w:r>
      <w:hyperlink r:id="rId40">
        <w:r>
          <w:rPr>
            <w:rStyle w:val="Hyperlink"/>
          </w:rPr>
          <w:t>https://doi.org/10.1016/j.tics.2020.03.007</w:t>
        </w:r>
      </w:hyperlink>
    </w:p>
    <w:p w14:paraId="0400A28F" w14:textId="77777777" w:rsidR="009B47CB" w:rsidRDefault="00AF1415">
      <w:pPr>
        <w:pStyle w:val="Bibliography"/>
      </w:pPr>
      <w:bookmarkStart w:id="63" w:name="ref-frischkorn_2019"/>
      <w:bookmarkEnd w:id="62"/>
      <w:r>
        <w:t xml:space="preserve">Frischkorn, G. T., Schubert, A.-L., &amp; Hagemann, D. (2019). Processing speed, working memory, and executive functions: Independent or inter-related predictors of general intelligence. </w:t>
      </w:r>
      <w:r>
        <w:rPr>
          <w:i/>
          <w:iCs/>
        </w:rPr>
        <w:t>Intelligence</w:t>
      </w:r>
      <w:r>
        <w:t xml:space="preserve">, </w:t>
      </w:r>
      <w:r>
        <w:rPr>
          <w:i/>
          <w:iCs/>
        </w:rPr>
        <w:t>75</w:t>
      </w:r>
      <w:r>
        <w:t xml:space="preserve">, 95–110. </w:t>
      </w:r>
      <w:hyperlink r:id="rId41">
        <w:r>
          <w:rPr>
            <w:rStyle w:val="Hyperlink"/>
          </w:rPr>
          <w:t>https://doi.org/10.1016/j.intell.2019.05.003</w:t>
        </w:r>
      </w:hyperlink>
    </w:p>
    <w:p w14:paraId="0400A290" w14:textId="77777777" w:rsidR="009B47CB" w:rsidRDefault="00AF1415">
      <w:pPr>
        <w:pStyle w:val="Bibliography"/>
      </w:pPr>
      <w:bookmarkStart w:id="64" w:name="ref-fuhrmann_2020"/>
      <w:bookmarkEnd w:id="63"/>
      <w:r>
        <w:t xml:space="preserve">Fuhrmann, D., Simpson-Kent, I. L., Bathelt, J., The CALM Team, &amp; Kievit, R. A. (2020). A Hierarchical Watershed Model of Fluid Intelligence in Childhood and Adolescence. </w:t>
      </w:r>
      <w:r>
        <w:rPr>
          <w:i/>
          <w:iCs/>
        </w:rPr>
        <w:t>Cerebral Cortex</w:t>
      </w:r>
      <w:r>
        <w:t xml:space="preserve">, </w:t>
      </w:r>
      <w:r>
        <w:rPr>
          <w:i/>
          <w:iCs/>
        </w:rPr>
        <w:t>30</w:t>
      </w:r>
      <w:r>
        <w:t xml:space="preserve">(1), 339–352. </w:t>
      </w:r>
      <w:hyperlink r:id="rId42">
        <w:r>
          <w:rPr>
            <w:rStyle w:val="Hyperlink"/>
          </w:rPr>
          <w:t>https://doi.org/10.1093/cercor/bhz091</w:t>
        </w:r>
      </w:hyperlink>
    </w:p>
    <w:p w14:paraId="0400A291" w14:textId="77777777" w:rsidR="009B47CB" w:rsidRDefault="00AF1415">
      <w:pPr>
        <w:pStyle w:val="Bibliography"/>
      </w:pPr>
      <w:bookmarkStart w:id="65" w:name="ref-goodman_2019"/>
      <w:bookmarkEnd w:id="64"/>
      <w:r>
        <w:t xml:space="preserve">Goodman, J. B., Freeman, E. E., &amp; Chalmers, K. A. (2019). The relationship between early life stress and working memory in adulthood: A systematic review and meta-analysis. </w:t>
      </w:r>
      <w:r>
        <w:rPr>
          <w:i/>
          <w:iCs/>
        </w:rPr>
        <w:t>Memory</w:t>
      </w:r>
      <w:r>
        <w:t xml:space="preserve">, </w:t>
      </w:r>
      <w:r>
        <w:rPr>
          <w:i/>
          <w:iCs/>
        </w:rPr>
        <w:t>27</w:t>
      </w:r>
      <w:r>
        <w:t xml:space="preserve">(6), 868–880. </w:t>
      </w:r>
      <w:hyperlink r:id="rId43">
        <w:r>
          <w:rPr>
            <w:rStyle w:val="Hyperlink"/>
          </w:rPr>
          <w:t>https://doi.org/10.1080/09658211.2018.1561897</w:t>
        </w:r>
      </w:hyperlink>
    </w:p>
    <w:p w14:paraId="0400A292" w14:textId="77777777" w:rsidR="009B47CB" w:rsidRDefault="00AF1415">
      <w:pPr>
        <w:pStyle w:val="Bibliography"/>
      </w:pPr>
      <w:bookmarkStart w:id="66" w:name="ref-hazel_2008"/>
      <w:bookmarkEnd w:id="65"/>
      <w:r>
        <w:t xml:space="preserve">Hazel, N. A., Hammen, C., Brennan, P. A., &amp; Najman, J. (2008). Early childhood adversity and adolescent depression: The mediating role of continued stress. </w:t>
      </w:r>
      <w:r>
        <w:rPr>
          <w:i/>
          <w:iCs/>
        </w:rPr>
        <w:t>Psychological Medicine</w:t>
      </w:r>
      <w:r>
        <w:t xml:space="preserve">, </w:t>
      </w:r>
      <w:r>
        <w:rPr>
          <w:i/>
          <w:iCs/>
        </w:rPr>
        <w:t>38</w:t>
      </w:r>
      <w:r>
        <w:t xml:space="preserve">(4), 581–589. </w:t>
      </w:r>
      <w:hyperlink r:id="rId44">
        <w:r>
          <w:rPr>
            <w:rStyle w:val="Hyperlink"/>
          </w:rPr>
          <w:t>https://doi.org/10.1017/S0033291708002857</w:t>
        </w:r>
      </w:hyperlink>
    </w:p>
    <w:p w14:paraId="0400A293" w14:textId="77777777" w:rsidR="009B47CB" w:rsidRDefault="00AF1415">
      <w:pPr>
        <w:pStyle w:val="Bibliography"/>
      </w:pPr>
      <w:bookmarkStart w:id="67" w:name="ref-hedge_2021"/>
      <w:bookmarkEnd w:id="66"/>
      <w:r>
        <w:lastRenderedPageBreak/>
        <w:t xml:space="preserve">Hedge, C., Powell, G., Bompas, A., &amp; Sumner, P. (2021). Strategy and processing speed eclipse individual differences in control ability in conflict tasks. </w:t>
      </w:r>
      <w:r>
        <w:rPr>
          <w:i/>
          <w:iCs/>
        </w:rPr>
        <w:t>Journal of Experimental Psychology: Learning, Memory, and Cognition</w:t>
      </w:r>
      <w:r>
        <w:t>.</w:t>
      </w:r>
    </w:p>
    <w:p w14:paraId="0400A294" w14:textId="77777777" w:rsidR="009B47CB" w:rsidRDefault="00AF1415">
      <w:pPr>
        <w:pStyle w:val="Bibliography"/>
      </w:pPr>
      <w:bookmarkStart w:id="68" w:name="ref-hofmarcher_2021"/>
      <w:bookmarkEnd w:id="67"/>
      <w:r>
        <w:t xml:space="preserve">Hofmarcher, T. (2021). The effect of education on poverty: A European perspective. </w:t>
      </w:r>
      <w:r>
        <w:rPr>
          <w:i/>
          <w:iCs/>
        </w:rPr>
        <w:t>Economics of Education Review</w:t>
      </w:r>
      <w:r>
        <w:t xml:space="preserve">, </w:t>
      </w:r>
      <w:r>
        <w:rPr>
          <w:i/>
          <w:iCs/>
        </w:rPr>
        <w:t>83</w:t>
      </w:r>
      <w:r>
        <w:t xml:space="preserve">, 102124. </w:t>
      </w:r>
      <w:hyperlink r:id="rId45">
        <w:r>
          <w:rPr>
            <w:rStyle w:val="Hyperlink"/>
          </w:rPr>
          <w:t>https://doi.org/10.1016/j.econedurev.2021.102124</w:t>
        </w:r>
      </w:hyperlink>
    </w:p>
    <w:p w14:paraId="0400A295" w14:textId="77777777" w:rsidR="009B47CB" w:rsidRDefault="00AF1415">
      <w:pPr>
        <w:pStyle w:val="Bibliography"/>
      </w:pPr>
      <w:bookmarkStart w:id="69" w:name="ref-howard_2020"/>
      <w:bookmarkEnd w:id="68"/>
      <w:r>
        <w:t xml:space="preserve">Howard, S. J., Cook, C. J., Everts, L., Melhuish, E., Scerif, G., Norris, S., Twine, R., Kahn, K., &amp; Draper, C. E. (2020). Challenging socioeconomic status: A cross‐cultural comparison of early executive function. </w:t>
      </w:r>
      <w:r>
        <w:rPr>
          <w:i/>
          <w:iCs/>
        </w:rPr>
        <w:t>Developmental Science</w:t>
      </w:r>
      <w:r>
        <w:t xml:space="preserve">, </w:t>
      </w:r>
      <w:r>
        <w:rPr>
          <w:i/>
          <w:iCs/>
        </w:rPr>
        <w:t>23</w:t>
      </w:r>
      <w:r>
        <w:t xml:space="preserve">(1), e12854. </w:t>
      </w:r>
      <w:hyperlink r:id="rId46">
        <w:r>
          <w:rPr>
            <w:rStyle w:val="Hyperlink"/>
          </w:rPr>
          <w:t>https://doi.org/10.1111/desc.12854</w:t>
        </w:r>
      </w:hyperlink>
    </w:p>
    <w:p w14:paraId="0400A296" w14:textId="77777777" w:rsidR="009B47CB" w:rsidRDefault="00AF1415">
      <w:pPr>
        <w:pStyle w:val="Bibliography"/>
      </w:pPr>
      <w:bookmarkStart w:id="70" w:name="ref-huizinga_2010"/>
      <w:bookmarkEnd w:id="69"/>
      <w:r>
        <w:t xml:space="preserve">Huizinga, M., Burack, J. A., &amp; Van der Molen, M. W. (2010). Age-Related Change in Shifting Attention Between Global and Local Levels of Hierarchical Stimuli. </w:t>
      </w:r>
      <w:r>
        <w:rPr>
          <w:i/>
          <w:iCs/>
        </w:rPr>
        <w:t>Journal of Cognition and Development</w:t>
      </w:r>
      <w:r>
        <w:t xml:space="preserve">, </w:t>
      </w:r>
      <w:r>
        <w:rPr>
          <w:i/>
          <w:iCs/>
        </w:rPr>
        <w:t>11</w:t>
      </w:r>
      <w:r>
        <w:t xml:space="preserve">(4), 408–436. </w:t>
      </w:r>
      <w:hyperlink r:id="rId47">
        <w:r>
          <w:rPr>
            <w:rStyle w:val="Hyperlink"/>
          </w:rPr>
          <w:t>https://doi.org/10.1080/15248371003700031</w:t>
        </w:r>
      </w:hyperlink>
    </w:p>
    <w:p w14:paraId="0400A297" w14:textId="77777777" w:rsidR="009B47CB" w:rsidRDefault="00AF1415">
      <w:pPr>
        <w:pStyle w:val="Bibliography"/>
      </w:pPr>
      <w:bookmarkStart w:id="71" w:name="ref-johnson_2021"/>
      <w:bookmarkEnd w:id="70"/>
      <w:r>
        <w:t xml:space="preserve">Johnson, D., Policelli, J., Li, M., Dharamsi, A., Hu, Q., Sheridan, M. A., McLaughlin, K. A., &amp; Wade, M. (2021). Associations of early-life threat and deprivation with executive functioning in childhood and adolescence: A systematic review and meta-analysis. </w:t>
      </w:r>
      <w:r>
        <w:rPr>
          <w:i/>
          <w:iCs/>
        </w:rPr>
        <w:t>JAMA Pediatrics</w:t>
      </w:r>
      <w:r>
        <w:t xml:space="preserve">, </w:t>
      </w:r>
      <w:r>
        <w:rPr>
          <w:i/>
          <w:iCs/>
        </w:rPr>
        <w:t>175</w:t>
      </w:r>
      <w:r>
        <w:t xml:space="preserve">(11), e212511. </w:t>
      </w:r>
      <w:hyperlink r:id="rId48">
        <w:r>
          <w:rPr>
            <w:rStyle w:val="Hyperlink"/>
          </w:rPr>
          <w:t>https://doi.org/10.1001/jamapediatrics.2021.2511</w:t>
        </w:r>
      </w:hyperlink>
    </w:p>
    <w:p w14:paraId="0400A298" w14:textId="77777777" w:rsidR="009B47CB" w:rsidRDefault="00AF1415">
      <w:pPr>
        <w:pStyle w:val="Bibliography"/>
      </w:pPr>
      <w:bookmarkStart w:id="72" w:name="ref-kievit_2016"/>
      <w:bookmarkEnd w:id="71"/>
      <w:r>
        <w:t xml:space="preserve">Kievit, R. A., Davis, S. W., Griffiths, J., Correia, M. M., Cam-CAN, &amp; Henson, R. N. (2016). A watershed model of individual differences in fluid intelligence. </w:t>
      </w:r>
      <w:r>
        <w:rPr>
          <w:i/>
          <w:iCs/>
        </w:rPr>
        <w:t>Neuropsychologia</w:t>
      </w:r>
      <w:r>
        <w:t xml:space="preserve">, </w:t>
      </w:r>
      <w:r>
        <w:rPr>
          <w:i/>
          <w:iCs/>
        </w:rPr>
        <w:t>91</w:t>
      </w:r>
      <w:r>
        <w:t xml:space="preserve">, 186–198. </w:t>
      </w:r>
      <w:hyperlink r:id="rId49">
        <w:r>
          <w:rPr>
            <w:rStyle w:val="Hyperlink"/>
          </w:rPr>
          <w:t>https://doi.org/10.1016/j.neuropsychologia.2016.08.008</w:t>
        </w:r>
      </w:hyperlink>
    </w:p>
    <w:p w14:paraId="0400A299" w14:textId="77777777" w:rsidR="009B47CB" w:rsidRDefault="00AF1415">
      <w:pPr>
        <w:pStyle w:val="Bibliography"/>
      </w:pPr>
      <w:bookmarkStart w:id="73" w:name="ref-kretzschmar_2019"/>
      <w:bookmarkEnd w:id="72"/>
      <w:r>
        <w:t xml:space="preserve">Kretzschmar, A., &amp; Gignac, G. E. (2019). At what sample size do latent variable correlations stabilize? </w:t>
      </w:r>
      <w:r>
        <w:rPr>
          <w:i/>
          <w:iCs/>
        </w:rPr>
        <w:t>Journal of Research in Personality</w:t>
      </w:r>
      <w:r>
        <w:t xml:space="preserve">, </w:t>
      </w:r>
      <w:r>
        <w:rPr>
          <w:i/>
          <w:iCs/>
        </w:rPr>
        <w:t>80</w:t>
      </w:r>
      <w:r>
        <w:t xml:space="preserve">, 17–22. </w:t>
      </w:r>
      <w:hyperlink r:id="rId50">
        <w:r>
          <w:rPr>
            <w:rStyle w:val="Hyperlink"/>
          </w:rPr>
          <w:t>https://doi.org/10.1016/j.jrp.2019.03.007</w:t>
        </w:r>
      </w:hyperlink>
    </w:p>
    <w:p w14:paraId="0400A29A" w14:textId="77777777" w:rsidR="009B47CB" w:rsidRDefault="00AF1415">
      <w:pPr>
        <w:pStyle w:val="Bibliography"/>
      </w:pPr>
      <w:bookmarkStart w:id="74" w:name="ref-lacey_2022"/>
      <w:bookmarkEnd w:id="73"/>
      <w:r>
        <w:lastRenderedPageBreak/>
        <w:t xml:space="preserve">Lacey, R. E., Howe, L. D., Kelly-Irving, M., Bartley, M., &amp; Kelly, Y. (2022). The Clustering of Adverse Childhood Experiences in the Avon Longitudinal Study of Parents and Children: Are Gender and Poverty Important? </w:t>
      </w:r>
      <w:r>
        <w:rPr>
          <w:i/>
          <w:iCs/>
        </w:rPr>
        <w:t>Journal of Interpersonal Violence</w:t>
      </w:r>
      <w:r>
        <w:t xml:space="preserve">, </w:t>
      </w:r>
      <w:r>
        <w:rPr>
          <w:i/>
          <w:iCs/>
        </w:rPr>
        <w:t>37</w:t>
      </w:r>
      <w:r>
        <w:t xml:space="preserve">(5-6), 2218–2241. </w:t>
      </w:r>
      <w:hyperlink r:id="rId51">
        <w:r>
          <w:rPr>
            <w:rStyle w:val="Hyperlink"/>
          </w:rPr>
          <w:t>https://doi.org/10.1177/0886260520935096</w:t>
        </w:r>
      </w:hyperlink>
    </w:p>
    <w:p w14:paraId="0400A29B" w14:textId="77777777" w:rsidR="009B47CB" w:rsidRDefault="00AF1415">
      <w:pPr>
        <w:pStyle w:val="Bibliography"/>
      </w:pPr>
      <w:bookmarkStart w:id="75" w:name="ref-lakens_2018"/>
      <w:bookmarkEnd w:id="74"/>
      <w:r>
        <w:t xml:space="preserve">Lakens, D., Scheel, A. M., &amp; Isager, P. M. (2018). Equivalence testing for psychological research: A tutorial. </w:t>
      </w:r>
      <w:r>
        <w:rPr>
          <w:i/>
          <w:iCs/>
        </w:rPr>
        <w:t>Advances in Methods and Practices in Psychological Science</w:t>
      </w:r>
      <w:r>
        <w:t xml:space="preserve">, </w:t>
      </w:r>
      <w:r>
        <w:rPr>
          <w:i/>
          <w:iCs/>
        </w:rPr>
        <w:t>1</w:t>
      </w:r>
      <w:r>
        <w:t xml:space="preserve">(2), 259–269. </w:t>
      </w:r>
      <w:hyperlink r:id="rId52">
        <w:r>
          <w:rPr>
            <w:rStyle w:val="Hyperlink"/>
          </w:rPr>
          <w:t>https://doi.org/10.1177/2515245918770963</w:t>
        </w:r>
      </w:hyperlink>
    </w:p>
    <w:p w14:paraId="0400A29C" w14:textId="77777777" w:rsidR="009B47CB" w:rsidRDefault="00AF1415">
      <w:pPr>
        <w:pStyle w:val="Bibliography"/>
      </w:pPr>
      <w:bookmarkStart w:id="76" w:name="ref-deleeuw_2015"/>
      <w:bookmarkEnd w:id="75"/>
      <w:r>
        <w:t xml:space="preserve">Leeuw, J. R. de. (2015). jsPsych: A JavaScript library for creating behavioral experiments in a Web browser. </w:t>
      </w:r>
      <w:r>
        <w:rPr>
          <w:i/>
          <w:iCs/>
        </w:rPr>
        <w:t>Behavior Research Methods</w:t>
      </w:r>
      <w:r>
        <w:t xml:space="preserve">, </w:t>
      </w:r>
      <w:r>
        <w:rPr>
          <w:i/>
          <w:iCs/>
        </w:rPr>
        <w:t>47</w:t>
      </w:r>
      <w:r>
        <w:t xml:space="preserve">(1), 1–12. </w:t>
      </w:r>
      <w:hyperlink r:id="rId53">
        <w:r>
          <w:rPr>
            <w:rStyle w:val="Hyperlink"/>
          </w:rPr>
          <w:t>https://doi.org/10.3758/s13428-014-0458-y</w:t>
        </w:r>
      </w:hyperlink>
    </w:p>
    <w:p w14:paraId="0400A29D" w14:textId="77777777" w:rsidR="009B47CB" w:rsidRDefault="00AF1415">
      <w:pPr>
        <w:pStyle w:val="Bibliography"/>
      </w:pPr>
      <w:bookmarkStart w:id="77" w:name="ref-lerche_2020"/>
      <w:bookmarkEnd w:id="76"/>
      <w:r>
        <w:t xml:space="preserve">Lerche, V., Krause, M. von, Voss, A., Frischkorn, G. T., Schubert, A.-L., &amp; Hagemann, D. (2020). Diffusion modeling and intelligence: Drift rates show both domain-general and domain-specific relations with intelligence. </w:t>
      </w:r>
      <w:r>
        <w:rPr>
          <w:i/>
          <w:iCs/>
        </w:rPr>
        <w:t>Journal of Experimental Psychology: General</w:t>
      </w:r>
      <w:r>
        <w:t xml:space="preserve">, </w:t>
      </w:r>
      <w:r>
        <w:rPr>
          <w:i/>
          <w:iCs/>
        </w:rPr>
        <w:t>149</w:t>
      </w:r>
      <w:r>
        <w:t xml:space="preserve">(12), 2207–2249. </w:t>
      </w:r>
      <w:hyperlink r:id="rId54">
        <w:r>
          <w:rPr>
            <w:rStyle w:val="Hyperlink"/>
          </w:rPr>
          <w:t>https://doi.org/10.1037/xge0000774</w:t>
        </w:r>
      </w:hyperlink>
    </w:p>
    <w:p w14:paraId="0400A29E" w14:textId="77777777" w:rsidR="009B47CB" w:rsidRDefault="00AF1415">
      <w:pPr>
        <w:pStyle w:val="Bibliography"/>
      </w:pPr>
      <w:bookmarkStart w:id="78" w:name="ref-loffler_2024"/>
      <w:bookmarkEnd w:id="77"/>
      <w:r>
        <w:t xml:space="preserve">Löffler, C., Frischkorn, G. T., Hagemann, D., Sadus, K., &amp; Schubert, A.-L. (2024). The common factor of executive functions measures nothing but speed of information uptake. </w:t>
      </w:r>
      <w:r>
        <w:rPr>
          <w:i/>
          <w:iCs/>
        </w:rPr>
        <w:t>Psychological Research</w:t>
      </w:r>
      <w:r>
        <w:t xml:space="preserve">. </w:t>
      </w:r>
      <w:hyperlink r:id="rId55">
        <w:r>
          <w:rPr>
            <w:rStyle w:val="Hyperlink"/>
          </w:rPr>
          <w:t>https://doi.org/10.1007/s00426-023-01924-7</w:t>
        </w:r>
      </w:hyperlink>
    </w:p>
    <w:p w14:paraId="0400A29F" w14:textId="77777777" w:rsidR="009B47CB" w:rsidRDefault="00AF1415">
      <w:pPr>
        <w:pStyle w:val="Bibliography"/>
      </w:pPr>
      <w:bookmarkStart w:id="79" w:name="ref-marteau_1992"/>
      <w:bookmarkEnd w:id="78"/>
      <w:r>
        <w:t xml:space="preserve">Marteau, T. M., &amp; Bekker, H. (1992). The development of a six-item short-form of the state scale of the Spielberger State-Trait Anxiety Inventory (STAI). </w:t>
      </w:r>
      <w:r>
        <w:rPr>
          <w:i/>
          <w:iCs/>
        </w:rPr>
        <w:t>The British Journal of Clinical Psychology</w:t>
      </w:r>
      <w:r>
        <w:t xml:space="preserve">, </w:t>
      </w:r>
      <w:r>
        <w:rPr>
          <w:i/>
          <w:iCs/>
        </w:rPr>
        <w:t>31</w:t>
      </w:r>
      <w:r>
        <w:t xml:space="preserve">(3), 301–306. </w:t>
      </w:r>
      <w:hyperlink r:id="rId56">
        <w:r>
          <w:rPr>
            <w:rStyle w:val="Hyperlink"/>
          </w:rPr>
          <w:t>https://doi.org/10.1111/j.2044-8260.1992.tb00997.x</w:t>
        </w:r>
      </w:hyperlink>
    </w:p>
    <w:p w14:paraId="0400A2A0" w14:textId="77777777" w:rsidR="009B47CB" w:rsidRDefault="00AF1415">
      <w:pPr>
        <w:pStyle w:val="Bibliography"/>
      </w:pPr>
      <w:bookmarkStart w:id="80" w:name="ref-mclaughlin_2021"/>
      <w:bookmarkEnd w:id="79"/>
      <w:r>
        <w:t xml:space="preserve">McLaughlin, K. A., Sheridan, M. A., Humphreys, K. L., Belsky, J., &amp; Ellis, B. J. (2021). The value of dimensional models of early experience: Thinking clearly about concepts and </w:t>
      </w:r>
      <w:r>
        <w:lastRenderedPageBreak/>
        <w:t xml:space="preserve">categories. </w:t>
      </w:r>
      <w:r>
        <w:rPr>
          <w:i/>
          <w:iCs/>
        </w:rPr>
        <w:t>Perspectives on Psychological Science</w:t>
      </w:r>
      <w:r>
        <w:t xml:space="preserve">, </w:t>
      </w:r>
      <w:r>
        <w:rPr>
          <w:i/>
          <w:iCs/>
        </w:rPr>
        <w:t>16</w:t>
      </w:r>
      <w:r>
        <w:t xml:space="preserve">(6), 1463–1472. </w:t>
      </w:r>
      <w:hyperlink r:id="rId57">
        <w:r>
          <w:rPr>
            <w:rStyle w:val="Hyperlink"/>
          </w:rPr>
          <w:t>https://doi.org/10.1177/1745691621992346</w:t>
        </w:r>
      </w:hyperlink>
    </w:p>
    <w:p w14:paraId="0400A2A1" w14:textId="77777777" w:rsidR="009B47CB" w:rsidRDefault="00AF1415">
      <w:pPr>
        <w:pStyle w:val="Bibliography"/>
      </w:pPr>
      <w:bookmarkStart w:id="81" w:name="ref-mertz_2019"/>
      <w:bookmarkEnd w:id="80"/>
      <w:r>
        <w:t xml:space="preserve">Merz, E. C., Wiltshire, C. A., &amp; Noble, K. G. (2019). Socioeconomic inequality and the developing brain: Spotlight on language and executive function. </w:t>
      </w:r>
      <w:r>
        <w:rPr>
          <w:i/>
          <w:iCs/>
        </w:rPr>
        <w:t>Child Development Perspectives</w:t>
      </w:r>
      <w:r>
        <w:t xml:space="preserve">, </w:t>
      </w:r>
      <w:r>
        <w:rPr>
          <w:i/>
          <w:iCs/>
        </w:rPr>
        <w:t>13</w:t>
      </w:r>
      <w:r>
        <w:t xml:space="preserve">(1), 15–20. </w:t>
      </w:r>
      <w:hyperlink r:id="rId58">
        <w:r>
          <w:rPr>
            <w:rStyle w:val="Hyperlink"/>
          </w:rPr>
          <w:t>https://doi.org/10.1111/cdep.12305</w:t>
        </w:r>
      </w:hyperlink>
    </w:p>
    <w:p w14:paraId="0400A2A2" w14:textId="77777777" w:rsidR="009B47CB" w:rsidRDefault="00AF1415">
      <w:pPr>
        <w:pStyle w:val="Bibliography"/>
      </w:pPr>
      <w:bookmarkStart w:id="82" w:name="ref-mezzacappa_2004"/>
      <w:bookmarkEnd w:id="81"/>
      <w:r>
        <w:t xml:space="preserve">Mezzacappa, E. (2004). Alerting, orienting, and executive attention: Developmental properties and sociodemographic correlates in an epidemiological sample of young, urban children. </w:t>
      </w:r>
      <w:r>
        <w:rPr>
          <w:i/>
          <w:iCs/>
        </w:rPr>
        <w:t>Child Development</w:t>
      </w:r>
      <w:r>
        <w:t xml:space="preserve">, </w:t>
      </w:r>
      <w:r>
        <w:rPr>
          <w:i/>
          <w:iCs/>
        </w:rPr>
        <w:t>75</w:t>
      </w:r>
      <w:r>
        <w:t xml:space="preserve">(5), 1373–1386. </w:t>
      </w:r>
      <w:hyperlink r:id="rId59">
        <w:r>
          <w:rPr>
            <w:rStyle w:val="Hyperlink"/>
          </w:rPr>
          <w:t>https://doi.org/10.1111/j.1467-8624.2004.00746.x</w:t>
        </w:r>
      </w:hyperlink>
    </w:p>
    <w:p w14:paraId="0400A2A3" w14:textId="77777777" w:rsidR="009B47CB" w:rsidRDefault="00AF1415">
      <w:pPr>
        <w:pStyle w:val="Bibliography"/>
      </w:pPr>
      <w:bookmarkStart w:id="83" w:name="ref-miller_cotto_2022"/>
      <w:bookmarkEnd w:id="82"/>
      <w:r>
        <w:t xml:space="preserve">Miller-Cotto, D., Smith, L. V., Wang, A. H., &amp; Ribner, A. D. (2022). Changing the conversation: A culturally responsive perspective on executive functions, minoritized children and their families. </w:t>
      </w:r>
      <w:r>
        <w:rPr>
          <w:i/>
          <w:iCs/>
        </w:rPr>
        <w:t>Infant and Child Development</w:t>
      </w:r>
      <w:r>
        <w:t xml:space="preserve">, </w:t>
      </w:r>
      <w:r>
        <w:rPr>
          <w:i/>
          <w:iCs/>
        </w:rPr>
        <w:t>31</w:t>
      </w:r>
      <w:r>
        <w:t xml:space="preserve">(1), e2286. </w:t>
      </w:r>
      <w:hyperlink r:id="rId60">
        <w:r>
          <w:rPr>
            <w:rStyle w:val="Hyperlink"/>
          </w:rPr>
          <w:t>https://doi.org/10.1002/icd.2286</w:t>
        </w:r>
      </w:hyperlink>
    </w:p>
    <w:p w14:paraId="0400A2A4" w14:textId="77777777" w:rsidR="009B47CB" w:rsidRDefault="00AF1415">
      <w:pPr>
        <w:pStyle w:val="Bibliography"/>
      </w:pPr>
      <w:bookmarkStart w:id="84" w:name="ref-mittal_2015"/>
      <w:bookmarkEnd w:id="83"/>
      <w:r>
        <w:t xml:space="preserve">Mittal, C., Griskevicius, V., Simpson, J. A., Sung, S., &amp; Young, E. S. (2015). Cognitive adaptations to stressful environments: When childhood adversity enhances adult executive function. </w:t>
      </w:r>
      <w:r>
        <w:rPr>
          <w:i/>
          <w:iCs/>
        </w:rPr>
        <w:t>Journal of Personality and Social Psychology</w:t>
      </w:r>
      <w:r>
        <w:t xml:space="preserve">, </w:t>
      </w:r>
      <w:r>
        <w:rPr>
          <w:i/>
          <w:iCs/>
        </w:rPr>
        <w:t>109</w:t>
      </w:r>
      <w:r>
        <w:t xml:space="preserve">(4), 604–621. </w:t>
      </w:r>
      <w:hyperlink r:id="rId61">
        <w:r>
          <w:rPr>
            <w:rStyle w:val="Hyperlink"/>
          </w:rPr>
          <w:t>https://doi.org/10.1037/pspi0000028</w:t>
        </w:r>
      </w:hyperlink>
    </w:p>
    <w:p w14:paraId="0400A2A5" w14:textId="77777777" w:rsidR="009B47CB" w:rsidRDefault="00AF1415">
      <w:pPr>
        <w:pStyle w:val="Bibliography"/>
      </w:pPr>
      <w:bookmarkStart w:id="85" w:name="ref-miyake_2000"/>
      <w:bookmarkEnd w:id="84"/>
      <w:r>
        <w:t xml:space="preserve">Miyake, A., Friedman, N. P., Emerson, M. J., Witzki, A. H., Howerter, A., &amp; Wager, T. D. (2000). The unity and diversity of executive functions and their contributions to comples "frontal lobe" tasks: A latent variable analysis. </w:t>
      </w:r>
      <w:r>
        <w:rPr>
          <w:i/>
          <w:iCs/>
        </w:rPr>
        <w:t>Cognitive Psychology</w:t>
      </w:r>
      <w:r>
        <w:t xml:space="preserve">, </w:t>
      </w:r>
      <w:r>
        <w:rPr>
          <w:i/>
          <w:iCs/>
        </w:rPr>
        <w:t>41</w:t>
      </w:r>
      <w:r>
        <w:t xml:space="preserve">(1), 49–100. </w:t>
      </w:r>
      <w:hyperlink r:id="rId62">
        <w:r>
          <w:rPr>
            <w:rStyle w:val="Hyperlink"/>
          </w:rPr>
          <w:t>https://doi.org/10.1006/cogp.1999.0734</w:t>
        </w:r>
      </w:hyperlink>
    </w:p>
    <w:p w14:paraId="0400A2A6" w14:textId="77777777" w:rsidR="009B47CB" w:rsidRPr="002C192A" w:rsidRDefault="00AF1415">
      <w:pPr>
        <w:pStyle w:val="Bibliography"/>
        <w:rPr>
          <w:lang w:val="nl-NL"/>
        </w:rPr>
      </w:pPr>
      <w:bookmarkStart w:id="86" w:name="ref-nelson_2020a"/>
      <w:bookmarkEnd w:id="85"/>
      <w:r>
        <w:t xml:space="preserve">Nelson, C. A., Bhutta, Z. A., Burke Harris, N., Danese, A., &amp; Samara, M. (2020). Adversity in childhood is linked to mental and physical health throughout life. </w:t>
      </w:r>
      <w:r w:rsidRPr="002C192A">
        <w:rPr>
          <w:i/>
          <w:iCs/>
          <w:lang w:val="nl-NL"/>
        </w:rPr>
        <w:t>BMJ</w:t>
      </w:r>
      <w:r w:rsidRPr="002C192A">
        <w:rPr>
          <w:lang w:val="nl-NL"/>
        </w:rPr>
        <w:t xml:space="preserve">, m3048. </w:t>
      </w:r>
      <w:hyperlink r:id="rId63">
        <w:r w:rsidRPr="002C192A">
          <w:rPr>
            <w:rStyle w:val="Hyperlink"/>
            <w:lang w:val="nl-NL"/>
          </w:rPr>
          <w:t>https://doi.org/10.1136/bmj.m3048</w:t>
        </w:r>
      </w:hyperlink>
    </w:p>
    <w:p w14:paraId="0400A2A7" w14:textId="77777777" w:rsidR="009B47CB" w:rsidRDefault="00AF1415">
      <w:pPr>
        <w:pStyle w:val="Bibliography"/>
      </w:pPr>
      <w:bookmarkStart w:id="87" w:name="ref-nelson_2020b"/>
      <w:bookmarkEnd w:id="86"/>
      <w:r w:rsidRPr="002C192A">
        <w:rPr>
          <w:lang w:val="nl-NL"/>
        </w:rPr>
        <w:lastRenderedPageBreak/>
        <w:t xml:space="preserve">Nelson, C. A., &amp; Gabard-Durnam, L. J. (2020). </w:t>
      </w:r>
      <w:r>
        <w:t xml:space="preserve">Early Adversity and Critical Periods: Neurodevelopmental Consequences of Violating the Expectable Environment. </w:t>
      </w:r>
      <w:r>
        <w:rPr>
          <w:i/>
          <w:iCs/>
        </w:rPr>
        <w:t>Trends in Neurosciences</w:t>
      </w:r>
      <w:r>
        <w:t xml:space="preserve">, </w:t>
      </w:r>
      <w:r>
        <w:rPr>
          <w:i/>
          <w:iCs/>
        </w:rPr>
        <w:t>43</w:t>
      </w:r>
      <w:r>
        <w:t xml:space="preserve">(3), 133–143. </w:t>
      </w:r>
      <w:hyperlink r:id="rId64">
        <w:r>
          <w:rPr>
            <w:rStyle w:val="Hyperlink"/>
          </w:rPr>
          <w:t>https://doi.org/10.1016/j.tins.2020.01.002</w:t>
        </w:r>
      </w:hyperlink>
    </w:p>
    <w:p w14:paraId="0400A2A8" w14:textId="77777777" w:rsidR="009B47CB" w:rsidRDefault="00AF1415">
      <w:pPr>
        <w:pStyle w:val="Bibliography"/>
      </w:pPr>
      <w:bookmarkStart w:id="88" w:name="ref-niebaum_2023"/>
      <w:bookmarkEnd w:id="87"/>
      <w:r>
        <w:t xml:space="preserve">Niebaum, J. C., &amp; Munakata, Y. (2023). Why Doesn’t Executive function training improve academic achievement? Rethinking individual differences, relevance, and engagement from a contextual framework. </w:t>
      </w:r>
      <w:r>
        <w:rPr>
          <w:i/>
          <w:iCs/>
        </w:rPr>
        <w:t>Journal of Cognition and Development</w:t>
      </w:r>
      <w:r>
        <w:t xml:space="preserve">, </w:t>
      </w:r>
      <w:r>
        <w:rPr>
          <w:i/>
          <w:iCs/>
        </w:rPr>
        <w:t>24</w:t>
      </w:r>
      <w:r>
        <w:t xml:space="preserve">(2), 241–259. </w:t>
      </w:r>
      <w:hyperlink r:id="rId65">
        <w:r>
          <w:rPr>
            <w:rStyle w:val="Hyperlink"/>
          </w:rPr>
          <w:t>https://doi.org/10.1080/15248372.2022.2160723</w:t>
        </w:r>
      </w:hyperlink>
    </w:p>
    <w:p w14:paraId="0400A2A9" w14:textId="77777777" w:rsidR="009B47CB" w:rsidRDefault="00AF1415">
      <w:pPr>
        <w:pStyle w:val="Bibliography"/>
      </w:pPr>
      <w:bookmarkStart w:id="89" w:name="ref-ning_2023"/>
      <w:bookmarkEnd w:id="88"/>
      <w:r>
        <w:t xml:space="preserve">Ning, K., Gondek, D., Pereira, S. M. P., &amp; Lacey, R. E. (2023). Mediating mechanisms of the relationship between exposure to deprivation and threat during childhood and adolescent psychopathology: Evidence from the Millennium Cohort Study. </w:t>
      </w:r>
      <w:r>
        <w:rPr>
          <w:i/>
          <w:iCs/>
        </w:rPr>
        <w:t>European Child &amp; Adolescent Psychiatry</w:t>
      </w:r>
      <w:r>
        <w:t xml:space="preserve">. </w:t>
      </w:r>
      <w:hyperlink r:id="rId66">
        <w:r>
          <w:rPr>
            <w:rStyle w:val="Hyperlink"/>
          </w:rPr>
          <w:t>https://doi.org/10.1007/s00787-023-02289-3</w:t>
        </w:r>
      </w:hyperlink>
    </w:p>
    <w:p w14:paraId="0400A2AA" w14:textId="77777777" w:rsidR="009B47CB" w:rsidRDefault="00AF1415">
      <w:pPr>
        <w:pStyle w:val="Bibliography"/>
      </w:pPr>
      <w:bookmarkStart w:id="90" w:name="ref-nketia_2023"/>
      <w:bookmarkEnd w:id="89"/>
      <w:r>
        <w:t xml:space="preserve">Nketia, J., Al Sager, A., Dajani, R., Placido, D., &amp; Amso, D. (2023). Executive functions in Jordanian children: What can the Hearts and Flowers Task tell us about development in a non-Western context. </w:t>
      </w:r>
      <w:r>
        <w:rPr>
          <w:i/>
          <w:iCs/>
        </w:rPr>
        <w:t>Journal of Cognition and Development</w:t>
      </w:r>
      <w:r>
        <w:t xml:space="preserve">, </w:t>
      </w:r>
      <w:r>
        <w:rPr>
          <w:i/>
          <w:iCs/>
        </w:rPr>
        <w:t>0</w:t>
      </w:r>
      <w:r>
        <w:t xml:space="preserve">(0), 1–21. </w:t>
      </w:r>
      <w:hyperlink r:id="rId67">
        <w:r>
          <w:rPr>
            <w:rStyle w:val="Hyperlink"/>
          </w:rPr>
          <w:t>https://doi.org/10.1080/15248372.2023.2248698</w:t>
        </w:r>
      </w:hyperlink>
    </w:p>
    <w:p w14:paraId="0400A2AB" w14:textId="77777777" w:rsidR="009B47CB" w:rsidRDefault="00AF1415">
      <w:pPr>
        <w:pStyle w:val="Bibliography"/>
      </w:pPr>
      <w:bookmarkStart w:id="91" w:name="ref-noble_2005"/>
      <w:bookmarkEnd w:id="90"/>
      <w:r>
        <w:t xml:space="preserve">Noble, K. G., Norman, M. F., &amp; Farah, M. J. (2005). Neurocognitive correlates of socioeconomic status in kindergarten children. </w:t>
      </w:r>
      <w:r>
        <w:rPr>
          <w:i/>
          <w:iCs/>
        </w:rPr>
        <w:t>Developmental Science</w:t>
      </w:r>
      <w:r>
        <w:t xml:space="preserve">, </w:t>
      </w:r>
      <w:r>
        <w:rPr>
          <w:i/>
          <w:iCs/>
        </w:rPr>
        <w:t>8</w:t>
      </w:r>
      <w:r>
        <w:t xml:space="preserve">(1), 74–87. </w:t>
      </w:r>
      <w:hyperlink r:id="rId68">
        <w:r>
          <w:rPr>
            <w:rStyle w:val="Hyperlink"/>
          </w:rPr>
          <w:t>https://doi.org/10.1111/j.1467-7687.2005.00394.x</w:t>
        </w:r>
      </w:hyperlink>
    </w:p>
    <w:p w14:paraId="0400A2AC" w14:textId="77777777" w:rsidR="009B47CB" w:rsidRDefault="00AF1415">
      <w:pPr>
        <w:pStyle w:val="Bibliography"/>
      </w:pPr>
      <w:bookmarkStart w:id="92" w:name="ref-nweze_2021"/>
      <w:bookmarkEnd w:id="91"/>
      <w:r>
        <w:t xml:space="preserve">Nweze, T., Nwoke, M. B., Nwufo, J. I., Aniekwu, R. I., &amp; Lange, F. (2021). Working for the future: Parentally deprived Nigerian children have enhanced working memory ability. </w:t>
      </w:r>
      <w:r>
        <w:rPr>
          <w:i/>
          <w:iCs/>
        </w:rPr>
        <w:t>Journal of Child Psychology and Psychiatry</w:t>
      </w:r>
      <w:r>
        <w:t xml:space="preserve">, </w:t>
      </w:r>
      <w:r>
        <w:rPr>
          <w:i/>
          <w:iCs/>
        </w:rPr>
        <w:t>62</w:t>
      </w:r>
      <w:r>
        <w:t xml:space="preserve">(3), 280–288. </w:t>
      </w:r>
      <w:hyperlink r:id="rId69">
        <w:r>
          <w:rPr>
            <w:rStyle w:val="Hyperlink"/>
          </w:rPr>
          <w:t>https://doi.org/10.1111/jcpp.13241</w:t>
        </w:r>
      </w:hyperlink>
    </w:p>
    <w:p w14:paraId="0400A2AD" w14:textId="77777777" w:rsidR="009B47CB" w:rsidRDefault="00AF1415">
      <w:pPr>
        <w:pStyle w:val="Bibliography"/>
      </w:pPr>
      <w:bookmarkStart w:id="93" w:name="ref-polavarapu_2017"/>
      <w:bookmarkEnd w:id="92"/>
      <w:r>
        <w:lastRenderedPageBreak/>
        <w:t xml:space="preserve">Polavarapu, A., &amp; Hasbani, D. (2017). Neurological complications of nutritional disease. </w:t>
      </w:r>
      <w:r>
        <w:rPr>
          <w:i/>
          <w:iCs/>
        </w:rPr>
        <w:t>Seminars in Pediatric Neurology</w:t>
      </w:r>
      <w:r>
        <w:t xml:space="preserve">, </w:t>
      </w:r>
      <w:r>
        <w:rPr>
          <w:i/>
          <w:iCs/>
        </w:rPr>
        <w:t>24</w:t>
      </w:r>
      <w:r>
        <w:t xml:space="preserve">(1), 70–80. </w:t>
      </w:r>
      <w:hyperlink r:id="rId70">
        <w:r>
          <w:rPr>
            <w:rStyle w:val="Hyperlink"/>
          </w:rPr>
          <w:t>https://doi.org/10.1016/j.spen.2016.12.002</w:t>
        </w:r>
      </w:hyperlink>
    </w:p>
    <w:p w14:paraId="0400A2AE" w14:textId="77777777" w:rsidR="009B47CB" w:rsidRDefault="00AF1415">
      <w:pPr>
        <w:pStyle w:val="Bibliography"/>
      </w:pPr>
      <w:bookmarkStart w:id="94" w:name="ref-posner_1967"/>
      <w:bookmarkEnd w:id="93"/>
      <w:r>
        <w:t xml:space="preserve">Posner, M. I., &amp; Mitchell, R. F. (1967). Chronometric analysis of classification. </w:t>
      </w:r>
      <w:r>
        <w:rPr>
          <w:i/>
          <w:iCs/>
        </w:rPr>
        <w:t>Psychological Review</w:t>
      </w:r>
      <w:r>
        <w:t xml:space="preserve">, </w:t>
      </w:r>
      <w:r>
        <w:rPr>
          <w:i/>
          <w:iCs/>
        </w:rPr>
        <w:t>74</w:t>
      </w:r>
      <w:r>
        <w:t xml:space="preserve">(5), 392–409. </w:t>
      </w:r>
      <w:hyperlink r:id="rId71">
        <w:r>
          <w:rPr>
            <w:rStyle w:val="Hyperlink"/>
          </w:rPr>
          <w:t>https://doi.org/10.1037/h0024913</w:t>
        </w:r>
      </w:hyperlink>
    </w:p>
    <w:p w14:paraId="0400A2AF" w14:textId="77777777" w:rsidR="009B47CB" w:rsidRDefault="00AF1415">
      <w:pPr>
        <w:pStyle w:val="Bibliography"/>
      </w:pPr>
      <w:bookmarkStart w:id="95" w:name="ref-ratcliff_1978"/>
      <w:bookmarkEnd w:id="94"/>
      <w:r>
        <w:t xml:space="preserve">Ratcliff, R. (1978). A theory of memory retrieval. </w:t>
      </w:r>
      <w:r>
        <w:rPr>
          <w:i/>
          <w:iCs/>
        </w:rPr>
        <w:t>Psychological Review</w:t>
      </w:r>
      <w:r>
        <w:t xml:space="preserve">, </w:t>
      </w:r>
      <w:r>
        <w:rPr>
          <w:i/>
          <w:iCs/>
        </w:rPr>
        <w:t>85</w:t>
      </w:r>
      <w:r>
        <w:t xml:space="preserve">(2), 59. </w:t>
      </w:r>
      <w:hyperlink r:id="rId72">
        <w:r>
          <w:rPr>
            <w:rStyle w:val="Hyperlink"/>
          </w:rPr>
          <w:t>https://psycnet.apa.org/record/1978-30970-001</w:t>
        </w:r>
      </w:hyperlink>
    </w:p>
    <w:p w14:paraId="0400A2B0" w14:textId="77777777" w:rsidR="009B47CB" w:rsidRDefault="00AF1415">
      <w:pPr>
        <w:pStyle w:val="Bibliography"/>
      </w:pPr>
      <w:bookmarkStart w:id="96" w:name="ref-ratcliff_2008"/>
      <w:bookmarkEnd w:id="95"/>
      <w:r>
        <w:t xml:space="preserve">Ratcliff, R., &amp; McKoon, G. (2008). The diffusion decision model: Theory and data for two-choice decision tasks. </w:t>
      </w:r>
      <w:r>
        <w:rPr>
          <w:i/>
          <w:iCs/>
        </w:rPr>
        <w:t>Neural Computation</w:t>
      </w:r>
      <w:r>
        <w:t xml:space="preserve">, </w:t>
      </w:r>
      <w:r>
        <w:rPr>
          <w:i/>
          <w:iCs/>
        </w:rPr>
        <w:t>20</w:t>
      </w:r>
      <w:r>
        <w:t xml:space="preserve">(4), 873–922. </w:t>
      </w:r>
      <w:hyperlink r:id="rId73">
        <w:r>
          <w:rPr>
            <w:rStyle w:val="Hyperlink"/>
          </w:rPr>
          <w:t>https://doi.org/10.1162/neco.2008.12-06-420</w:t>
        </w:r>
      </w:hyperlink>
    </w:p>
    <w:p w14:paraId="0400A2B1" w14:textId="77777777" w:rsidR="009B47CB" w:rsidRDefault="00AF1415">
      <w:pPr>
        <w:pStyle w:val="Bibliography"/>
      </w:pPr>
      <w:bookmarkStart w:id="97" w:name="ref-ratcliff_1998"/>
      <w:bookmarkEnd w:id="96"/>
      <w:r>
        <w:t xml:space="preserve">Ratcliff, R., &amp; Rouder, J. N. (1998). Modeling response times for two-choice decisions. </w:t>
      </w:r>
      <w:r>
        <w:rPr>
          <w:i/>
          <w:iCs/>
        </w:rPr>
        <w:t>Psychological Science</w:t>
      </w:r>
      <w:r>
        <w:t xml:space="preserve">, </w:t>
      </w:r>
      <w:r>
        <w:rPr>
          <w:i/>
          <w:iCs/>
        </w:rPr>
        <w:t>9</w:t>
      </w:r>
      <w:r>
        <w:t xml:space="preserve">(5), 347–356. </w:t>
      </w:r>
      <w:hyperlink r:id="rId74">
        <w:r>
          <w:rPr>
            <w:rStyle w:val="Hyperlink"/>
          </w:rPr>
          <w:t>https://doi.org/10.1111/1467-9280.00067</w:t>
        </w:r>
      </w:hyperlink>
    </w:p>
    <w:p w14:paraId="0400A2B2" w14:textId="77777777" w:rsidR="009B47CB" w:rsidRDefault="00AF1415">
      <w:pPr>
        <w:pStyle w:val="Bibliography"/>
      </w:pPr>
      <w:bookmarkStart w:id="98" w:name="ref-rebello_2018"/>
      <w:bookmarkEnd w:id="97"/>
      <w:r>
        <w:t xml:space="preserve">Rebello, K., Moura, L. M., Pinaya, W. H. L., Rohde, L. A., &amp; Sato, J. R. (2018). Default Mode Network Maturation and Environmental Adversities During Childhood. </w:t>
      </w:r>
      <w:r>
        <w:rPr>
          <w:i/>
          <w:iCs/>
        </w:rPr>
        <w:t>Chronic Stress</w:t>
      </w:r>
      <w:r>
        <w:t xml:space="preserve">, </w:t>
      </w:r>
      <w:r>
        <w:rPr>
          <w:i/>
          <w:iCs/>
        </w:rPr>
        <w:t>2</w:t>
      </w:r>
      <w:r>
        <w:t xml:space="preserve">, 2470547018808295. </w:t>
      </w:r>
      <w:hyperlink r:id="rId75">
        <w:r>
          <w:rPr>
            <w:rStyle w:val="Hyperlink"/>
          </w:rPr>
          <w:t>https://doi.org/10.1177/2470547018808295</w:t>
        </w:r>
      </w:hyperlink>
    </w:p>
    <w:p w14:paraId="0400A2B3" w14:textId="77777777" w:rsidR="009B47CB" w:rsidRDefault="00AF1415">
      <w:pPr>
        <w:pStyle w:val="Bibliography"/>
      </w:pPr>
      <w:bookmarkStart w:id="99" w:name="ref-rey_mermet_2024"/>
      <w:bookmarkEnd w:id="98"/>
      <w:r>
        <w:t xml:space="preserve">Rey-Mermet, A. (2024). </w:t>
      </w:r>
      <w:r>
        <w:rPr>
          <w:i/>
          <w:iCs/>
        </w:rPr>
        <w:t>Beyond unity and diversity: Tasks used to assess attentional control measure task-specific processes</w:t>
      </w:r>
      <w:r>
        <w:t xml:space="preserve">. OSF. </w:t>
      </w:r>
      <w:hyperlink r:id="rId76">
        <w:r>
          <w:rPr>
            <w:rStyle w:val="Hyperlink"/>
          </w:rPr>
          <w:t>https://doi.org/10.31234/osf.io/jvbfn</w:t>
        </w:r>
      </w:hyperlink>
    </w:p>
    <w:p w14:paraId="0400A2B4" w14:textId="77777777" w:rsidR="009B47CB" w:rsidRDefault="00AF1415">
      <w:pPr>
        <w:pStyle w:val="Bibliography"/>
      </w:pPr>
      <w:bookmarkStart w:id="100" w:name="ref-rohrer_2018"/>
      <w:bookmarkEnd w:id="99"/>
      <w:r>
        <w:t xml:space="preserve">Rohrer, J. M. (2018). Thinking clearly about correlations and causation: Graphical </w:t>
      </w:r>
      <w:r>
        <w:t xml:space="preserve">causal models for observational data. </w:t>
      </w:r>
      <w:r>
        <w:rPr>
          <w:i/>
          <w:iCs/>
        </w:rPr>
        <w:t>Advances in Methods and Practices in Psychological Science</w:t>
      </w:r>
      <w:r>
        <w:t xml:space="preserve">, </w:t>
      </w:r>
      <w:r>
        <w:rPr>
          <w:i/>
          <w:iCs/>
        </w:rPr>
        <w:t>1</w:t>
      </w:r>
      <w:r>
        <w:t xml:space="preserve">(1), 27–42. </w:t>
      </w:r>
      <w:hyperlink r:id="rId77">
        <w:r>
          <w:rPr>
            <w:rStyle w:val="Hyperlink"/>
          </w:rPr>
          <w:t>https://doi.org/10.1177/2515245917745629</w:t>
        </w:r>
      </w:hyperlink>
    </w:p>
    <w:p w14:paraId="0400A2B5" w14:textId="77777777" w:rsidR="009B47CB" w:rsidRDefault="00AF1415">
      <w:pPr>
        <w:pStyle w:val="Bibliography"/>
      </w:pPr>
      <w:bookmarkStart w:id="101" w:name="ref-rosen_2018"/>
      <w:bookmarkEnd w:id="100"/>
      <w:r>
        <w:t xml:space="preserve">Rosen, M. L., Sheridan, M. A., Sambrook, K. A., Meltzoff, A. N., &amp; McLaughlin, K. A. (2018). Socioeconomic disparities in academic achievement: A multi-modal investigation of </w:t>
      </w:r>
      <w:r>
        <w:lastRenderedPageBreak/>
        <w:t xml:space="preserve">neural mechanisms in children and adolescents. </w:t>
      </w:r>
      <w:r>
        <w:rPr>
          <w:i/>
          <w:iCs/>
        </w:rPr>
        <w:t>NeuroImage</w:t>
      </w:r>
      <w:r>
        <w:t xml:space="preserve">, </w:t>
      </w:r>
      <w:r>
        <w:rPr>
          <w:i/>
          <w:iCs/>
        </w:rPr>
        <w:t>173</w:t>
      </w:r>
      <w:r>
        <w:t xml:space="preserve">, 298–310. </w:t>
      </w:r>
      <w:hyperlink r:id="rId78">
        <w:r>
          <w:rPr>
            <w:rStyle w:val="Hyperlink"/>
          </w:rPr>
          <w:t>https://doi.org/10.1016/j.neuroimage.2018.02.043</w:t>
        </w:r>
      </w:hyperlink>
    </w:p>
    <w:p w14:paraId="0400A2B6" w14:textId="77777777" w:rsidR="009B47CB" w:rsidRDefault="00AF1415">
      <w:pPr>
        <w:pStyle w:val="Bibliography"/>
      </w:pPr>
      <w:bookmarkStart w:id="102" w:name="ref-salthouse_2016"/>
      <w:bookmarkEnd w:id="101"/>
      <w:r>
        <w:t xml:space="preserve">Salthouse, T. A. (2016). Little relation of adult age on cognition after controlling general influences. </w:t>
      </w:r>
      <w:r>
        <w:rPr>
          <w:i/>
          <w:iCs/>
        </w:rPr>
        <w:t>Developmental Psychology</w:t>
      </w:r>
      <w:r>
        <w:t xml:space="preserve">, </w:t>
      </w:r>
      <w:r>
        <w:rPr>
          <w:i/>
          <w:iCs/>
        </w:rPr>
        <w:t>52</w:t>
      </w:r>
      <w:r>
        <w:t xml:space="preserve">(10), 1545–1554. </w:t>
      </w:r>
      <w:hyperlink r:id="rId79">
        <w:r>
          <w:rPr>
            <w:rStyle w:val="Hyperlink"/>
          </w:rPr>
          <w:t>https://doi.org/10.1037/dev0000162</w:t>
        </w:r>
      </w:hyperlink>
    </w:p>
    <w:p w14:paraId="0400A2B7" w14:textId="77777777" w:rsidR="009B47CB" w:rsidRDefault="00AF1415">
      <w:pPr>
        <w:pStyle w:val="Bibliography"/>
      </w:pPr>
      <w:bookmarkStart w:id="103" w:name="ref-salthouse_2019"/>
      <w:bookmarkEnd w:id="102"/>
      <w:r>
        <w:t xml:space="preserve">Salthouse, T. A. (2019). Trajectories of normal cognitive aging. </w:t>
      </w:r>
      <w:r>
        <w:rPr>
          <w:i/>
          <w:iCs/>
        </w:rPr>
        <w:t>Psychology and Aging</w:t>
      </w:r>
      <w:r>
        <w:t xml:space="preserve">, </w:t>
      </w:r>
      <w:r>
        <w:rPr>
          <w:i/>
          <w:iCs/>
        </w:rPr>
        <w:t>34</w:t>
      </w:r>
      <w:r>
        <w:t xml:space="preserve">(1), 17–24. </w:t>
      </w:r>
      <w:hyperlink r:id="rId80">
        <w:r>
          <w:rPr>
            <w:rStyle w:val="Hyperlink"/>
          </w:rPr>
          <w:t>https://doi.org/10.1037/pag0000288</w:t>
        </w:r>
      </w:hyperlink>
    </w:p>
    <w:p w14:paraId="0400A2B8" w14:textId="77777777" w:rsidR="009B47CB" w:rsidRDefault="00AF1415">
      <w:pPr>
        <w:pStyle w:val="Bibliography"/>
      </w:pPr>
      <w:bookmarkStart w:id="104" w:name="ref-schafer_2022"/>
      <w:bookmarkEnd w:id="103"/>
      <w:r>
        <w:t xml:space="preserve">Schäfer, J. L., McLaughlin, K. A., Manfro, G. G., Pan, P., Rohde, L. A., Miguel, E. C., Simioni, A., Hoffmann, M. S., &amp; Salum, G. A. (2022). Threat and deprivation are associated with distinct aspects of cognition, emotional processing, and psychopathology in children and adolescents. </w:t>
      </w:r>
      <w:r>
        <w:rPr>
          <w:i/>
          <w:iCs/>
        </w:rPr>
        <w:t>Developmental Science</w:t>
      </w:r>
      <w:r>
        <w:t xml:space="preserve">, </w:t>
      </w:r>
      <w:r>
        <w:rPr>
          <w:i/>
          <w:iCs/>
        </w:rPr>
        <w:t>26</w:t>
      </w:r>
      <w:r>
        <w:t>(1), e13267. https://doi.org/</w:t>
      </w:r>
      <w:hyperlink r:id="rId81">
        <w:r>
          <w:rPr>
            <w:rStyle w:val="Hyperlink"/>
          </w:rPr>
          <w:t>https://doi.org/10.1111/desc.13267</w:t>
        </w:r>
      </w:hyperlink>
    </w:p>
    <w:p w14:paraId="0400A2B9" w14:textId="77777777" w:rsidR="009B47CB" w:rsidRDefault="00AF1415">
      <w:pPr>
        <w:pStyle w:val="Bibliography"/>
      </w:pPr>
      <w:bookmarkStart w:id="105" w:name="ref-scherpenzeel_2011"/>
      <w:bookmarkEnd w:id="104"/>
      <w:r>
        <w:t xml:space="preserve">Scherpenzeel, A. (2011). Data collection in a probability-based internet panel: How the LISS Panel was built and how it can be used. </w:t>
      </w:r>
      <w:r>
        <w:rPr>
          <w:i/>
          <w:iCs/>
        </w:rPr>
        <w:t>Bulletin of Sociological Methodology</w:t>
      </w:r>
      <w:r>
        <w:t xml:space="preserve">, </w:t>
      </w:r>
      <w:r>
        <w:rPr>
          <w:i/>
          <w:iCs/>
        </w:rPr>
        <w:t>109</w:t>
      </w:r>
      <w:r>
        <w:t xml:space="preserve">, 56–61. </w:t>
      </w:r>
      <w:hyperlink r:id="rId82">
        <w:r>
          <w:rPr>
            <w:rStyle w:val="Hyperlink"/>
          </w:rPr>
          <w:t>https://doi.org/10.1177/0759106310387713</w:t>
        </w:r>
      </w:hyperlink>
    </w:p>
    <w:p w14:paraId="0400A2BA" w14:textId="77777777" w:rsidR="009B47CB" w:rsidRDefault="00AF1415">
      <w:pPr>
        <w:pStyle w:val="Bibliography"/>
      </w:pPr>
      <w:bookmarkStart w:id="106" w:name="ref-schmiedek_2007"/>
      <w:bookmarkEnd w:id="105"/>
      <w:r>
        <w:t xml:space="preserve">Schmiedek, F., Oberauer, K., Wilhelm, O., Süß, H.-M., &amp; Wittmann, W. W. (2007). Individual differences in components of reaction time distributions and their relations to working memory and intelligence. </w:t>
      </w:r>
      <w:r>
        <w:rPr>
          <w:i/>
          <w:iCs/>
        </w:rPr>
        <w:t>Journal of Experimental Psychology: General</w:t>
      </w:r>
      <w:r>
        <w:t xml:space="preserve">, </w:t>
      </w:r>
      <w:r>
        <w:rPr>
          <w:i/>
          <w:iCs/>
        </w:rPr>
        <w:t>136</w:t>
      </w:r>
      <w:r>
        <w:t xml:space="preserve">(3), 414–429. </w:t>
      </w:r>
      <w:hyperlink r:id="rId83">
        <w:r>
          <w:rPr>
            <w:rStyle w:val="Hyperlink"/>
          </w:rPr>
          <w:t>https://doi.org/10.1037/0096-3445.136.3.414</w:t>
        </w:r>
      </w:hyperlink>
    </w:p>
    <w:p w14:paraId="0400A2BB" w14:textId="77777777" w:rsidR="009B47CB" w:rsidRDefault="00AF1415">
      <w:pPr>
        <w:pStyle w:val="Bibliography"/>
      </w:pPr>
      <w:bookmarkStart w:id="107" w:name="ref-schmitz_2016"/>
      <w:bookmarkEnd w:id="106"/>
      <w:r>
        <w:t xml:space="preserve">Schmitz, F., &amp; Wilhelm, O. (2016). Modeling Mental Speed: Decomposing Response Time Distributions in Elementary Cognitive Tasks and Correlations with Working Memory Capacity and Fluid Intelligence. </w:t>
      </w:r>
      <w:r>
        <w:rPr>
          <w:i/>
          <w:iCs/>
        </w:rPr>
        <w:t>Journal of Intelligence</w:t>
      </w:r>
      <w:r>
        <w:t xml:space="preserve">, </w:t>
      </w:r>
      <w:r>
        <w:rPr>
          <w:i/>
          <w:iCs/>
        </w:rPr>
        <w:t>4</w:t>
      </w:r>
      <w:r>
        <w:t xml:space="preserve">(4), 13. </w:t>
      </w:r>
      <w:hyperlink r:id="rId84">
        <w:r>
          <w:rPr>
            <w:rStyle w:val="Hyperlink"/>
          </w:rPr>
          <w:t>https://doi.org/10.3390/jintelligence4040013</w:t>
        </w:r>
      </w:hyperlink>
    </w:p>
    <w:p w14:paraId="0400A2BC" w14:textId="77777777" w:rsidR="009B47CB" w:rsidRDefault="00AF1415">
      <w:pPr>
        <w:pStyle w:val="Bibliography"/>
      </w:pPr>
      <w:bookmarkStart w:id="108" w:name="ref-schubert_2016"/>
      <w:bookmarkEnd w:id="107"/>
      <w:r>
        <w:lastRenderedPageBreak/>
        <w:t xml:space="preserve">Schubert, A.-L., Frischkorn, G., Hagemann, D., &amp; Voss, A. (2016). Trait Characteristics of Diffusion Model Parameters. </w:t>
      </w:r>
      <w:r>
        <w:rPr>
          <w:i/>
          <w:iCs/>
        </w:rPr>
        <w:t>Journal of Intelligence</w:t>
      </w:r>
      <w:r>
        <w:t xml:space="preserve">, </w:t>
      </w:r>
      <w:r>
        <w:rPr>
          <w:i/>
          <w:iCs/>
        </w:rPr>
        <w:t>4</w:t>
      </w:r>
      <w:r>
        <w:t xml:space="preserve">(3), 7. </w:t>
      </w:r>
      <w:hyperlink r:id="rId85">
        <w:r>
          <w:rPr>
            <w:rStyle w:val="Hyperlink"/>
          </w:rPr>
          <w:t>https://doi.org/10.3390/jintelligence4030007</w:t>
        </w:r>
      </w:hyperlink>
    </w:p>
    <w:p w14:paraId="0400A2BD" w14:textId="77777777" w:rsidR="009B47CB" w:rsidRPr="002C192A" w:rsidRDefault="00AF1415">
      <w:pPr>
        <w:pStyle w:val="Bibliography"/>
        <w:rPr>
          <w:lang w:val="nl-NL"/>
        </w:rPr>
      </w:pPr>
      <w:bookmarkStart w:id="109" w:name="ref-schwabe_2013"/>
      <w:bookmarkEnd w:id="108"/>
      <w:r>
        <w:t xml:space="preserve">Schwabe, L., Höffken, O., Tegenthoff, M., &amp; Wolf, O. T. (2013). Stress-induced enhancement of response inhibition depends on mineralocorticoid receptor activation. </w:t>
      </w:r>
      <w:r w:rsidRPr="002C192A">
        <w:rPr>
          <w:i/>
          <w:iCs/>
          <w:lang w:val="nl-NL"/>
        </w:rPr>
        <w:t>Psychoneuroendocrinology</w:t>
      </w:r>
      <w:r w:rsidRPr="002C192A">
        <w:rPr>
          <w:lang w:val="nl-NL"/>
        </w:rPr>
        <w:t xml:space="preserve">, </w:t>
      </w:r>
      <w:r w:rsidRPr="002C192A">
        <w:rPr>
          <w:i/>
          <w:iCs/>
          <w:lang w:val="nl-NL"/>
        </w:rPr>
        <w:t>38</w:t>
      </w:r>
      <w:r w:rsidRPr="002C192A">
        <w:rPr>
          <w:lang w:val="nl-NL"/>
        </w:rPr>
        <w:t xml:space="preserve">(10), 2319–2326. </w:t>
      </w:r>
      <w:hyperlink r:id="rId86">
        <w:r w:rsidRPr="002C192A">
          <w:rPr>
            <w:rStyle w:val="Hyperlink"/>
            <w:lang w:val="nl-NL"/>
          </w:rPr>
          <w:t>https://doi.org/10.1016/j.psyneuen.2013.05.001</w:t>
        </w:r>
      </w:hyperlink>
    </w:p>
    <w:p w14:paraId="0400A2BE" w14:textId="77777777" w:rsidR="009B47CB" w:rsidRDefault="00AF1415">
      <w:pPr>
        <w:pStyle w:val="Bibliography"/>
      </w:pPr>
      <w:bookmarkStart w:id="110" w:name="ref-sheridan_2014"/>
      <w:bookmarkEnd w:id="109"/>
      <w:r w:rsidRPr="002C192A">
        <w:rPr>
          <w:lang w:val="nl-NL"/>
        </w:rPr>
        <w:t xml:space="preserve">Sheridan, M. A., &amp; McLaughlin, K. A. (2014). </w:t>
      </w:r>
      <w:r>
        <w:t xml:space="preserve">Dimensions of early experience and neural development: Deprivation and threat. </w:t>
      </w:r>
      <w:r>
        <w:rPr>
          <w:i/>
          <w:iCs/>
        </w:rPr>
        <w:t>Trends in Cognitive Sciences</w:t>
      </w:r>
      <w:r>
        <w:t xml:space="preserve">, </w:t>
      </w:r>
      <w:r>
        <w:rPr>
          <w:i/>
          <w:iCs/>
        </w:rPr>
        <w:t>18</w:t>
      </w:r>
      <w:r>
        <w:t xml:space="preserve">(11), 580–585. </w:t>
      </w:r>
      <w:hyperlink r:id="rId87">
        <w:r>
          <w:rPr>
            <w:rStyle w:val="Hyperlink"/>
          </w:rPr>
          <w:t>https://doi.org/10.1016/j.tics.2014.09.001</w:t>
        </w:r>
      </w:hyperlink>
    </w:p>
    <w:p w14:paraId="0400A2BF" w14:textId="77777777" w:rsidR="009B47CB" w:rsidRDefault="00AF1415">
      <w:pPr>
        <w:pStyle w:val="Bibliography"/>
      </w:pPr>
      <w:bookmarkStart w:id="111" w:name="ref-sheridan_2022"/>
      <w:bookmarkEnd w:id="110"/>
      <w:r>
        <w:t xml:space="preserve">Sheridan, M. A., Mukerji, C. E., Wade, M., Humphreys, K. L., Garrisi, K., Goel, S., Patel, K., Fox, N. A., Zeanah, C. H., Nelson, C. A., &amp; McLaughlin, K. A. (2022). Early deprivation alters structural brain development from middle childhood to adolescence. </w:t>
      </w:r>
      <w:r>
        <w:rPr>
          <w:i/>
          <w:iCs/>
        </w:rPr>
        <w:t>Science Advances</w:t>
      </w:r>
      <w:r>
        <w:t xml:space="preserve">, </w:t>
      </w:r>
      <w:r>
        <w:rPr>
          <w:i/>
          <w:iCs/>
        </w:rPr>
        <w:t>8</w:t>
      </w:r>
      <w:r>
        <w:t xml:space="preserve">(40), eabn4316. </w:t>
      </w:r>
      <w:hyperlink r:id="rId88">
        <w:r>
          <w:rPr>
            <w:rStyle w:val="Hyperlink"/>
          </w:rPr>
          <w:t>https://doi.org/10.1126/sciadv.abn4316</w:t>
        </w:r>
      </w:hyperlink>
    </w:p>
    <w:p w14:paraId="0400A2C0" w14:textId="77777777" w:rsidR="009B47CB" w:rsidRDefault="00AF1415">
      <w:pPr>
        <w:pStyle w:val="Bibliography"/>
      </w:pPr>
      <w:bookmarkStart w:id="112" w:name="ref-shonkoff_2012"/>
      <w:bookmarkEnd w:id="111"/>
      <w:r>
        <w:t xml:space="preserve">Shonkoff, J. P., Garner, A. S., Child, C. on P. A. of, Health, F., Care, D., Developmental, S. on, Pediatrics, B., Siegel, B. S., Dobbins, M. I., Earls, M. F., Garner, A. S., McGuinn, L., Pascoe, J., &amp; Wood, D. L. (2012). The lifelong effects of early childhood adversity and toxic stress. </w:t>
      </w:r>
      <w:r>
        <w:rPr>
          <w:i/>
          <w:iCs/>
        </w:rPr>
        <w:t>Pediatrics</w:t>
      </w:r>
      <w:r>
        <w:t xml:space="preserve">, </w:t>
      </w:r>
      <w:r>
        <w:rPr>
          <w:i/>
          <w:iCs/>
        </w:rPr>
        <w:t>129</w:t>
      </w:r>
      <w:r>
        <w:t xml:space="preserve">(1), e232–e246. </w:t>
      </w:r>
      <w:hyperlink r:id="rId89">
        <w:r>
          <w:rPr>
            <w:rStyle w:val="Hyperlink"/>
          </w:rPr>
          <w:t>https://publications.aap.org/pediatrics/article-abstract/129/1/e232/31628</w:t>
        </w:r>
      </w:hyperlink>
    </w:p>
    <w:p w14:paraId="0400A2C1" w14:textId="77777777" w:rsidR="009B47CB" w:rsidRDefault="00AF1415">
      <w:pPr>
        <w:pStyle w:val="Bibliography"/>
      </w:pPr>
      <w:bookmarkStart w:id="113" w:name="ref-simon_1963"/>
      <w:bookmarkEnd w:id="112"/>
      <w:r>
        <w:t xml:space="preserve">Simon, J. R., &amp; Wolf, J. D. (1963). Choice reaction time as a function of angular stimulus-response correspondence and age. </w:t>
      </w:r>
      <w:r>
        <w:rPr>
          <w:i/>
          <w:iCs/>
        </w:rPr>
        <w:t>Ergonomics</w:t>
      </w:r>
      <w:r>
        <w:t xml:space="preserve">, </w:t>
      </w:r>
      <w:r>
        <w:rPr>
          <w:i/>
          <w:iCs/>
        </w:rPr>
        <w:t>6</w:t>
      </w:r>
      <w:r>
        <w:t xml:space="preserve">(1), 99–105. </w:t>
      </w:r>
      <w:hyperlink r:id="rId90">
        <w:r>
          <w:rPr>
            <w:rStyle w:val="Hyperlink"/>
          </w:rPr>
          <w:t>https://doi.org/10.1080/00140136308930679</w:t>
        </w:r>
      </w:hyperlink>
    </w:p>
    <w:p w14:paraId="0400A2C2" w14:textId="77777777" w:rsidR="009B47CB" w:rsidRDefault="00AF1415">
      <w:pPr>
        <w:pStyle w:val="Bibliography"/>
      </w:pPr>
      <w:bookmarkStart w:id="114" w:name="ref-sliwinski_2006"/>
      <w:bookmarkEnd w:id="113"/>
      <w:r>
        <w:lastRenderedPageBreak/>
        <w:t xml:space="preserve">Sliwinski, M. J., Smyth, J. M., Hofer, S. M., &amp; Stawski, R. S. (2006). Intraindividual coupling of daily stress and cognition. </w:t>
      </w:r>
      <w:r>
        <w:rPr>
          <w:i/>
          <w:iCs/>
        </w:rPr>
        <w:t>Psychology and Aging</w:t>
      </w:r>
      <w:r>
        <w:t xml:space="preserve">, </w:t>
      </w:r>
      <w:r>
        <w:rPr>
          <w:i/>
          <w:iCs/>
        </w:rPr>
        <w:t>21</w:t>
      </w:r>
      <w:r>
        <w:t xml:space="preserve">(3), 545–557. </w:t>
      </w:r>
      <w:hyperlink r:id="rId91">
        <w:r>
          <w:rPr>
            <w:rStyle w:val="Hyperlink"/>
          </w:rPr>
          <w:t>https://doi.org/10.1037/0882-7974.21.3.545</w:t>
        </w:r>
      </w:hyperlink>
    </w:p>
    <w:p w14:paraId="0400A2C3" w14:textId="77777777" w:rsidR="009B47CB" w:rsidRDefault="00AF1415">
      <w:pPr>
        <w:pStyle w:val="Bibliography"/>
      </w:pPr>
      <w:bookmarkStart w:id="115" w:name="ref-stahl_2014"/>
      <w:bookmarkEnd w:id="114"/>
      <w:r>
        <w:t xml:space="preserve">Stahl, C., Voss, A., Schmitz, F., Nuszbaum, M., Tüscher, O., Lieb, K., &amp; Klauer, K. C. (2014). Behavioral components of impulsivity. </w:t>
      </w:r>
      <w:r>
        <w:rPr>
          <w:i/>
          <w:iCs/>
        </w:rPr>
        <w:t>Journal of Experimental Psychology. General</w:t>
      </w:r>
      <w:r>
        <w:t xml:space="preserve">, </w:t>
      </w:r>
      <w:r>
        <w:rPr>
          <w:i/>
          <w:iCs/>
        </w:rPr>
        <w:t>143</w:t>
      </w:r>
      <w:r>
        <w:t xml:space="preserve">(2), 850–886. </w:t>
      </w:r>
      <w:hyperlink r:id="rId92">
        <w:r>
          <w:rPr>
            <w:rStyle w:val="Hyperlink"/>
          </w:rPr>
          <w:t>https://doi.org/10.1037/a0033981</w:t>
        </w:r>
      </w:hyperlink>
    </w:p>
    <w:p w14:paraId="0400A2C4" w14:textId="77777777" w:rsidR="009B47CB" w:rsidRDefault="00AF1415">
      <w:pPr>
        <w:pStyle w:val="Bibliography"/>
      </w:pPr>
      <w:bookmarkStart w:id="116" w:name="ref-starns_2010"/>
      <w:bookmarkEnd w:id="115"/>
      <w:r>
        <w:t xml:space="preserve">Starns, J. J., &amp; Ratcliff, R. (2010). The effects of aging on the speed–accuracy compromise: Boundary optimality in the diffusion model. </w:t>
      </w:r>
      <w:r>
        <w:rPr>
          <w:i/>
          <w:iCs/>
        </w:rPr>
        <w:t>Psychology and Aging</w:t>
      </w:r>
      <w:r>
        <w:t xml:space="preserve">, </w:t>
      </w:r>
      <w:r>
        <w:rPr>
          <w:i/>
          <w:iCs/>
        </w:rPr>
        <w:t>25</w:t>
      </w:r>
      <w:r>
        <w:t xml:space="preserve">(2), 377–390. </w:t>
      </w:r>
      <w:hyperlink r:id="rId93">
        <w:r>
          <w:rPr>
            <w:rStyle w:val="Hyperlink"/>
          </w:rPr>
          <w:t>https://doi.org/10.1037/a0018022</w:t>
        </w:r>
      </w:hyperlink>
    </w:p>
    <w:p w14:paraId="0400A2C5" w14:textId="77777777" w:rsidR="009B47CB" w:rsidRDefault="00AF1415">
      <w:pPr>
        <w:pStyle w:val="Bibliography"/>
      </w:pPr>
      <w:bookmarkStart w:id="117" w:name="ref-sweeten_2012"/>
      <w:bookmarkEnd w:id="116"/>
      <w:r>
        <w:t xml:space="preserve">Sweeten, G. (2012). Scaling criminal offending. </w:t>
      </w:r>
      <w:r>
        <w:rPr>
          <w:i/>
          <w:iCs/>
        </w:rPr>
        <w:t>Journal of Quantitative Criminology</w:t>
      </w:r>
      <w:r>
        <w:t xml:space="preserve">, </w:t>
      </w:r>
      <w:r>
        <w:rPr>
          <w:i/>
          <w:iCs/>
        </w:rPr>
        <w:t>28</w:t>
      </w:r>
      <w:r>
        <w:t xml:space="preserve">(3), 533–557. </w:t>
      </w:r>
      <w:hyperlink r:id="rId94">
        <w:r>
          <w:rPr>
            <w:rStyle w:val="Hyperlink"/>
          </w:rPr>
          <w:t>https://doi.org/10.1007/s10940-011-9160-8</w:t>
        </w:r>
      </w:hyperlink>
    </w:p>
    <w:p w14:paraId="0400A2C6" w14:textId="77777777" w:rsidR="009B47CB" w:rsidRDefault="00AF1415">
      <w:pPr>
        <w:pStyle w:val="Bibliography"/>
      </w:pPr>
      <w:bookmarkStart w:id="118" w:name="ref-taylor_2022"/>
      <w:bookmarkEnd w:id="117"/>
      <w:r>
        <w:t xml:space="preserve">Taylor, R. L., &amp; Barch, D. M. (2022). Inhibitory control within the context of early life poverty and implications for outcomes. </w:t>
      </w:r>
      <w:r>
        <w:rPr>
          <w:i/>
          <w:iCs/>
        </w:rPr>
        <w:t>Neuroscience &amp; Biobehavioral Reviews</w:t>
      </w:r>
      <w:r>
        <w:t xml:space="preserve">, </w:t>
      </w:r>
      <w:r>
        <w:rPr>
          <w:i/>
          <w:iCs/>
        </w:rPr>
        <w:t>140</w:t>
      </w:r>
      <w:r>
        <w:t xml:space="preserve">, 104778. </w:t>
      </w:r>
      <w:hyperlink r:id="rId95">
        <w:r>
          <w:rPr>
            <w:rStyle w:val="Hyperlink"/>
          </w:rPr>
          <w:t>https://doi.org/10.1016/j.neubiorev.2022.104778</w:t>
        </w:r>
      </w:hyperlink>
    </w:p>
    <w:p w14:paraId="0400A2C7" w14:textId="77777777" w:rsidR="009B47CB" w:rsidRDefault="00AF1415">
      <w:pPr>
        <w:pStyle w:val="Bibliography"/>
      </w:pPr>
      <w:bookmarkStart w:id="119" w:name="ref-textor_2016"/>
      <w:bookmarkEnd w:id="118"/>
      <w:r>
        <w:t xml:space="preserve">Textor, J., Zander, B. van der, Gilthorpe, M. S., Liśkiewicz, M., &amp; Ellison, G. T. (2016). Robust causal inference using directed acyclic graphs: The R package “dagitty.” </w:t>
      </w:r>
      <w:r>
        <w:rPr>
          <w:i/>
          <w:iCs/>
        </w:rPr>
        <w:t>International Journal of Epidemiology</w:t>
      </w:r>
      <w:r>
        <w:t xml:space="preserve">, </w:t>
      </w:r>
      <w:r>
        <w:rPr>
          <w:i/>
          <w:iCs/>
        </w:rPr>
        <w:t>45</w:t>
      </w:r>
      <w:r>
        <w:t xml:space="preserve">(6), 1887–1894. </w:t>
      </w:r>
      <w:hyperlink r:id="rId96">
        <w:r>
          <w:rPr>
            <w:rStyle w:val="Hyperlink"/>
          </w:rPr>
          <w:t>https://doi.org/10.1093/ije/dyw341</w:t>
        </w:r>
      </w:hyperlink>
    </w:p>
    <w:p w14:paraId="0400A2C8" w14:textId="77777777" w:rsidR="009B47CB" w:rsidRDefault="00AF1415">
      <w:pPr>
        <w:pStyle w:val="Bibliography"/>
      </w:pPr>
      <w:bookmarkStart w:id="120" w:name="ref-tucker_drob_2013"/>
      <w:bookmarkEnd w:id="119"/>
      <w:r>
        <w:t xml:space="preserve">Tucker-Drob, E. M. (2013). How many pathways underlie socioeconomic differences in the development of cognition and achievement? </w:t>
      </w:r>
      <w:r>
        <w:rPr>
          <w:i/>
          <w:iCs/>
        </w:rPr>
        <w:t>Learning and Individual Differences</w:t>
      </w:r>
      <w:r>
        <w:t xml:space="preserve">, </w:t>
      </w:r>
      <w:r>
        <w:rPr>
          <w:i/>
          <w:iCs/>
        </w:rPr>
        <w:t>25</w:t>
      </w:r>
      <w:r>
        <w:t xml:space="preserve">, 12–20. </w:t>
      </w:r>
      <w:hyperlink r:id="rId97">
        <w:r>
          <w:rPr>
            <w:rStyle w:val="Hyperlink"/>
          </w:rPr>
          <w:t>https://doi.org/10.1016/j.lindif.2013.01.015</w:t>
        </w:r>
      </w:hyperlink>
    </w:p>
    <w:p w14:paraId="0400A2C9" w14:textId="77777777" w:rsidR="009B47CB" w:rsidRDefault="00AF1415">
      <w:pPr>
        <w:pStyle w:val="Bibliography"/>
      </w:pPr>
      <w:bookmarkStart w:id="121" w:name="ref-ursache_2016a"/>
      <w:bookmarkEnd w:id="120"/>
      <w:r>
        <w:t xml:space="preserve">Ursache, A., &amp; Noble, K. G. (2016). Neurocognitive development in socioeconomic context: Multiple mechanisms and implications for measuring socioeconomic status. </w:t>
      </w:r>
      <w:r>
        <w:rPr>
          <w:i/>
          <w:iCs/>
        </w:rPr>
        <w:t>Psychophysiology</w:t>
      </w:r>
      <w:r>
        <w:t xml:space="preserve">, </w:t>
      </w:r>
      <w:r>
        <w:rPr>
          <w:i/>
          <w:iCs/>
        </w:rPr>
        <w:t>53</w:t>
      </w:r>
      <w:r>
        <w:t xml:space="preserve">(1), 71–82. </w:t>
      </w:r>
      <w:hyperlink r:id="rId98">
        <w:r>
          <w:rPr>
            <w:rStyle w:val="Hyperlink"/>
          </w:rPr>
          <w:t>https://doi.org/10.1111/psyp.12547</w:t>
        </w:r>
      </w:hyperlink>
    </w:p>
    <w:p w14:paraId="0400A2CA" w14:textId="77777777" w:rsidR="009B47CB" w:rsidRPr="002C192A" w:rsidRDefault="00AF1415">
      <w:pPr>
        <w:pStyle w:val="Bibliography"/>
        <w:rPr>
          <w:lang w:val="nl-NL"/>
        </w:rPr>
      </w:pPr>
      <w:bookmarkStart w:id="122" w:name="ref-vandekerckhove_2011"/>
      <w:bookmarkEnd w:id="121"/>
      <w:r>
        <w:lastRenderedPageBreak/>
        <w:t xml:space="preserve">Vandekerckhove, J., Tuerlinckx, F., &amp; Lee, M. D. (2011). Hierarchical diffusion models for two-choice response times. </w:t>
      </w:r>
      <w:r w:rsidRPr="002C192A">
        <w:rPr>
          <w:i/>
          <w:iCs/>
          <w:lang w:val="nl-NL"/>
        </w:rPr>
        <w:t>Psychological Methods</w:t>
      </w:r>
      <w:r w:rsidRPr="002C192A">
        <w:rPr>
          <w:lang w:val="nl-NL"/>
        </w:rPr>
        <w:t xml:space="preserve">, </w:t>
      </w:r>
      <w:r w:rsidRPr="002C192A">
        <w:rPr>
          <w:i/>
          <w:iCs/>
          <w:lang w:val="nl-NL"/>
        </w:rPr>
        <w:t>16</w:t>
      </w:r>
      <w:r w:rsidRPr="002C192A">
        <w:rPr>
          <w:lang w:val="nl-NL"/>
        </w:rPr>
        <w:t xml:space="preserve">(1), 44–62. </w:t>
      </w:r>
      <w:hyperlink r:id="rId99">
        <w:r w:rsidRPr="002C192A">
          <w:rPr>
            <w:rStyle w:val="Hyperlink"/>
            <w:lang w:val="nl-NL"/>
          </w:rPr>
          <w:t>https://doi.org/10.1037/a0021765</w:t>
        </w:r>
      </w:hyperlink>
    </w:p>
    <w:p w14:paraId="0400A2CB" w14:textId="77777777" w:rsidR="009B47CB" w:rsidRDefault="00AF1415">
      <w:pPr>
        <w:pStyle w:val="Bibliography"/>
      </w:pPr>
      <w:bookmarkStart w:id="123" w:name="ref-vermeent_2024c"/>
      <w:bookmarkEnd w:id="122"/>
      <w:r w:rsidRPr="002C192A">
        <w:rPr>
          <w:lang w:val="nl-NL"/>
        </w:rPr>
        <w:t xml:space="preserve">Vermeent, S., Schubert, A.-L., DeJoseph, M. L., Denissen, J. J. A., Van Gelder, J.-L., &amp; Frankenhuis, W. E. (2024). </w:t>
      </w:r>
      <w:r>
        <w:t xml:space="preserve">Inconclusive evidence for associations between adverse experiences in adulthood and working memory performance. </w:t>
      </w:r>
      <w:r>
        <w:rPr>
          <w:i/>
          <w:iCs/>
        </w:rPr>
        <w:t>Royal Society Open Science</w:t>
      </w:r>
      <w:r>
        <w:t xml:space="preserve">. </w:t>
      </w:r>
      <w:hyperlink r:id="rId100">
        <w:r>
          <w:rPr>
            <w:rStyle w:val="Hyperlink"/>
          </w:rPr>
          <w:t>https://doi.org/10.1098/rsos.241837</w:t>
        </w:r>
      </w:hyperlink>
    </w:p>
    <w:p w14:paraId="0400A2CC" w14:textId="77777777" w:rsidR="009B47CB" w:rsidRDefault="00AF1415">
      <w:pPr>
        <w:pStyle w:val="Bibliography"/>
      </w:pPr>
      <w:bookmarkStart w:id="124" w:name="ref-vermeent_2024a"/>
      <w:bookmarkEnd w:id="123"/>
      <w:r>
        <w:t xml:space="preserve">Vermeent, S., Schubert, A.-L., Young, E. S., DeJoseph, M. L., &amp; Frankenhuis, W. E. (2024). Cognitive deficits and enhancements in youth from adverse conditions: An integrative assessment using Drift Diffusion Modeling in the ABCD study. </w:t>
      </w:r>
      <w:r>
        <w:rPr>
          <w:i/>
          <w:iCs/>
        </w:rPr>
        <w:t>Developmental Science</w:t>
      </w:r>
      <w:r>
        <w:t xml:space="preserve">, </w:t>
      </w:r>
      <w:r>
        <w:rPr>
          <w:i/>
          <w:iCs/>
        </w:rPr>
        <w:t>e13478</w:t>
      </w:r>
      <w:r>
        <w:t xml:space="preserve">. </w:t>
      </w:r>
      <w:hyperlink r:id="rId101">
        <w:r>
          <w:rPr>
            <w:rStyle w:val="Hyperlink"/>
          </w:rPr>
          <w:t>https://doi.org/10.1111/desc.13478</w:t>
        </w:r>
      </w:hyperlink>
    </w:p>
    <w:p w14:paraId="0400A2CD" w14:textId="77777777" w:rsidR="009B47CB" w:rsidRDefault="00AF1415">
      <w:pPr>
        <w:pStyle w:val="Bibliography"/>
      </w:pPr>
      <w:bookmarkStart w:id="125" w:name="ref-voss_2004"/>
      <w:bookmarkEnd w:id="124"/>
      <w:r>
        <w:t xml:space="preserve">Voss, A., Rothermund, K., &amp; Voss, J. (2004). Interpreting the parameters of the diffusion model: An empirical validation. </w:t>
      </w:r>
      <w:r>
        <w:rPr>
          <w:i/>
          <w:iCs/>
        </w:rPr>
        <w:t>Memory &amp; Cognition</w:t>
      </w:r>
      <w:r>
        <w:t xml:space="preserve">, </w:t>
      </w:r>
      <w:r>
        <w:rPr>
          <w:i/>
          <w:iCs/>
        </w:rPr>
        <w:t>32</w:t>
      </w:r>
      <w:r>
        <w:t xml:space="preserve">(7), 1206–1220. </w:t>
      </w:r>
      <w:hyperlink r:id="rId102">
        <w:r>
          <w:rPr>
            <w:rStyle w:val="Hyperlink"/>
          </w:rPr>
          <w:t>https://doi.org/10.3758/BF03196893</w:t>
        </w:r>
      </w:hyperlink>
    </w:p>
    <w:p w14:paraId="0400A2CE" w14:textId="77777777" w:rsidR="009B47CB" w:rsidRDefault="00AF1415">
      <w:pPr>
        <w:pStyle w:val="Bibliography"/>
      </w:pPr>
      <w:bookmarkStart w:id="126" w:name="ref-wagenmakers_2009"/>
      <w:bookmarkEnd w:id="125"/>
      <w:r>
        <w:t xml:space="preserve">Wagenmakers, E.-J. (2009). Methodological and empirical developments for the Ratcliff diffusion model of response times and accuracy. </w:t>
      </w:r>
      <w:r>
        <w:rPr>
          <w:i/>
          <w:iCs/>
        </w:rPr>
        <w:t>European Journal of Cognitive Psychology</w:t>
      </w:r>
      <w:r>
        <w:t xml:space="preserve">, </w:t>
      </w:r>
      <w:r>
        <w:rPr>
          <w:i/>
          <w:iCs/>
        </w:rPr>
        <w:t>21</w:t>
      </w:r>
      <w:r>
        <w:t xml:space="preserve">(5), 641–671. </w:t>
      </w:r>
      <w:hyperlink r:id="rId103">
        <w:r>
          <w:rPr>
            <w:rStyle w:val="Hyperlink"/>
          </w:rPr>
          <w:t>https://doi.org/10.1080/09541440802205067</w:t>
        </w:r>
      </w:hyperlink>
    </w:p>
    <w:p w14:paraId="0400A2CF" w14:textId="77777777" w:rsidR="009B47CB" w:rsidRDefault="00AF1415">
      <w:pPr>
        <w:pStyle w:val="Bibliography"/>
      </w:pPr>
      <w:bookmarkStart w:id="127" w:name="ref-weigard_2021"/>
      <w:bookmarkEnd w:id="126"/>
      <w:r>
        <w:t xml:space="preserve">Weigard, A., Clark, D. A., &amp; Sripada, C. (2021). Cognitive efficiency beats top-down control as a reliable individual difference dimension relevant to self-control. </w:t>
      </w:r>
      <w:r>
        <w:rPr>
          <w:i/>
          <w:iCs/>
        </w:rPr>
        <w:t>Cognition</w:t>
      </w:r>
      <w:r>
        <w:t xml:space="preserve">, </w:t>
      </w:r>
      <w:r>
        <w:rPr>
          <w:i/>
          <w:iCs/>
        </w:rPr>
        <w:t>215</w:t>
      </w:r>
      <w:r>
        <w:t xml:space="preserve">, 104818. </w:t>
      </w:r>
      <w:hyperlink r:id="rId104">
        <w:r>
          <w:rPr>
            <w:rStyle w:val="Hyperlink"/>
          </w:rPr>
          <w:t>https://doi.org/10.1016/j.cognition.2021.104818</w:t>
        </w:r>
      </w:hyperlink>
    </w:p>
    <w:p w14:paraId="0400A2D0" w14:textId="77777777" w:rsidR="009B47CB" w:rsidRDefault="00AF1415">
      <w:pPr>
        <w:pStyle w:val="Bibliography"/>
      </w:pPr>
      <w:bookmarkStart w:id="128" w:name="ref-weigard_2021b"/>
      <w:bookmarkEnd w:id="127"/>
      <w:r>
        <w:t xml:space="preserve">Weigard, A., &amp; Sripada, C. (2021). Task-general efficiency of evidence accumulation as a computationally defined neurocognitive trait: Implications for clinical neuroscience. </w:t>
      </w:r>
      <w:r>
        <w:rPr>
          <w:i/>
          <w:iCs/>
        </w:rPr>
        <w:lastRenderedPageBreak/>
        <w:t>Biological Psychiatry Global Open Science</w:t>
      </w:r>
      <w:r>
        <w:t xml:space="preserve">, </w:t>
      </w:r>
      <w:r>
        <w:rPr>
          <w:i/>
          <w:iCs/>
        </w:rPr>
        <w:t>1</w:t>
      </w:r>
      <w:r>
        <w:t xml:space="preserve">(1), 5–15. </w:t>
      </w:r>
      <w:hyperlink r:id="rId105">
        <w:r>
          <w:rPr>
            <w:rStyle w:val="Hyperlink"/>
          </w:rPr>
          <w:t>https://doi.org/10.1016/j.bpsgos.2021.02.001</w:t>
        </w:r>
      </w:hyperlink>
    </w:p>
    <w:p w14:paraId="0400A2D1" w14:textId="77777777" w:rsidR="009B47CB" w:rsidRDefault="00AF1415">
      <w:pPr>
        <w:pStyle w:val="Bibliography"/>
      </w:pPr>
      <w:bookmarkStart w:id="129" w:name="ref-wiecki_2013"/>
      <w:bookmarkEnd w:id="128"/>
      <w:r>
        <w:t xml:space="preserve">Wiecki, T. V., Sofer, I., &amp; Frank, M. J. (2013). HDDM: Hierarchical Bayesian estimation of the Drift-Diffusion Model in Python. </w:t>
      </w:r>
      <w:r>
        <w:rPr>
          <w:i/>
          <w:iCs/>
        </w:rPr>
        <w:t>Frontiers in Neuroinformatics</w:t>
      </w:r>
      <w:r>
        <w:t xml:space="preserve">, </w:t>
      </w:r>
      <w:r>
        <w:rPr>
          <w:i/>
          <w:iCs/>
        </w:rPr>
        <w:t>7</w:t>
      </w:r>
      <w:r>
        <w:t xml:space="preserve">, 14. </w:t>
      </w:r>
      <w:hyperlink r:id="rId106">
        <w:r>
          <w:rPr>
            <w:rStyle w:val="Hyperlink"/>
          </w:rPr>
          <w:t>https://doi.org/10.3389/fninf.2013.00014</w:t>
        </w:r>
      </w:hyperlink>
    </w:p>
    <w:p w14:paraId="0400A2D2" w14:textId="77777777" w:rsidR="009B47CB" w:rsidRDefault="00AF1415">
      <w:pPr>
        <w:pStyle w:val="Bibliography"/>
      </w:pPr>
      <w:bookmarkStart w:id="130" w:name="ref-young_2022"/>
      <w:bookmarkEnd w:id="129"/>
      <w:r>
        <w:t xml:space="preserve">Young, E. S., Frankenhuis, W. E., DelPriore, D. J., &amp; Ellis, B. J. (2022). Hidden talents in context: Cognitive performance with abstract versus ecological stimuli among adversity-exposed youth. </w:t>
      </w:r>
      <w:r>
        <w:rPr>
          <w:i/>
          <w:iCs/>
        </w:rPr>
        <w:t>Child Development</w:t>
      </w:r>
      <w:r>
        <w:t xml:space="preserve">, 1493–1510. </w:t>
      </w:r>
      <w:hyperlink r:id="rId107">
        <w:r>
          <w:rPr>
            <w:rStyle w:val="Hyperlink"/>
          </w:rPr>
          <w:t>https://doi.org/10.1111/cdev.13766</w:t>
        </w:r>
      </w:hyperlink>
    </w:p>
    <w:p w14:paraId="0400A2D3" w14:textId="77777777" w:rsidR="009B47CB" w:rsidRDefault="00AF1415">
      <w:pPr>
        <w:pStyle w:val="Bibliography"/>
      </w:pPr>
      <w:bookmarkStart w:id="131" w:name="ref-young_2018"/>
      <w:bookmarkEnd w:id="130"/>
      <w:r>
        <w:t xml:space="preserve">Young, E. S., Griskevicius, V., Simpson, J. A., &amp; Waters, T. E. A. (2018). Can an unpredictable childhood environment enhance working memory? Testing the sensitized-specialization hypothesis. </w:t>
      </w:r>
      <w:r>
        <w:rPr>
          <w:i/>
          <w:iCs/>
        </w:rPr>
        <w:t>Journal of Personality and Social Psychology</w:t>
      </w:r>
      <w:r>
        <w:t xml:space="preserve">, </w:t>
      </w:r>
      <w:r>
        <w:rPr>
          <w:i/>
          <w:iCs/>
        </w:rPr>
        <w:t>114</w:t>
      </w:r>
      <w:r>
        <w:t xml:space="preserve">(6), 891–908. </w:t>
      </w:r>
      <w:hyperlink r:id="rId108">
        <w:r>
          <w:rPr>
            <w:rStyle w:val="Hyperlink"/>
          </w:rPr>
          <w:t>https://doi.org/10.1037/pspi0000124</w:t>
        </w:r>
      </w:hyperlink>
    </w:p>
    <w:p w14:paraId="0400A2D4" w14:textId="77777777" w:rsidR="009B47CB" w:rsidRDefault="00AF1415">
      <w:pPr>
        <w:pStyle w:val="Bibliography"/>
      </w:pPr>
      <w:bookmarkStart w:id="132" w:name="ref-young_2024"/>
      <w:bookmarkEnd w:id="131"/>
      <w:r>
        <w:t xml:space="preserve">Young, E. S., Vermeent, S., Frankenhuis, W. E., Nivison, M., Simpson, J. A., &amp; Roisman, G. I. (2024). How does adversity shape performance across different abilities in the same person? </w:t>
      </w:r>
      <w:r>
        <w:rPr>
          <w:i/>
          <w:iCs/>
        </w:rPr>
        <w:t>Development and Psychopathology</w:t>
      </w:r>
      <w:r>
        <w:t xml:space="preserve">, 1–18. </w:t>
      </w:r>
      <w:hyperlink r:id="rId109">
        <w:r>
          <w:rPr>
            <w:rStyle w:val="Hyperlink"/>
          </w:rPr>
          <w:t>https://doi.org/10.1017/S0954579424001433</w:t>
        </w:r>
      </w:hyperlink>
    </w:p>
    <w:bookmarkEnd w:id="132"/>
    <w:bookmarkEnd w:id="40"/>
    <w:bookmarkEnd w:id="38"/>
    <w:sectPr w:rsidR="009B47CB" w:rsidSect="00AB2BAE">
      <w:headerReference w:type="even" r:id="rId110"/>
      <w:headerReference w:type="default" r:id="rId111"/>
      <w:footerReference w:type="even" r:id="rId112"/>
      <w:footerReference w:type="default" r:id="rId113"/>
      <w:headerReference w:type="first" r:id="rId114"/>
      <w:footerReference w:type="first" r:id="rId1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00A2EF" w14:textId="77777777" w:rsidR="00AF1415" w:rsidRDefault="00AF1415">
      <w:pPr>
        <w:spacing w:line="240" w:lineRule="auto"/>
      </w:pPr>
      <w:r>
        <w:separator/>
      </w:r>
    </w:p>
  </w:endnote>
  <w:endnote w:type="continuationSeparator" w:id="0">
    <w:p w14:paraId="0400A2F1" w14:textId="77777777" w:rsidR="00AF1415" w:rsidRDefault="00AF14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0A2E7" w14:textId="77777777" w:rsidR="00075DFD" w:rsidRDefault="00075D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0A2E8" w14:textId="77777777" w:rsidR="00075DFD" w:rsidRDefault="00075D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0A2EA" w14:textId="77777777" w:rsidR="00075DFD" w:rsidRDefault="00075D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00A2EB" w14:textId="77777777" w:rsidR="00AF1415" w:rsidRDefault="00AF1415">
      <w:pPr>
        <w:spacing w:line="240" w:lineRule="auto"/>
      </w:pPr>
      <w:r>
        <w:separator/>
      </w:r>
    </w:p>
  </w:footnote>
  <w:footnote w:type="continuationSeparator" w:id="0">
    <w:p w14:paraId="0400A2ED" w14:textId="77777777" w:rsidR="00AF1415" w:rsidRDefault="00AF14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609122"/>
      <w:docPartObj>
        <w:docPartGallery w:val="Page Numbers (Top of Page)"/>
        <w:docPartUnique/>
      </w:docPartObj>
    </w:sdtPr>
    <w:sdtContent>
      <w:p w14:paraId="2C4773CF" w14:textId="2A777FBB" w:rsidR="00AF1415" w:rsidRDefault="00AF1415" w:rsidP="00AF1415">
        <w:pPr>
          <w:pStyle w:val="Header"/>
        </w:pPr>
        <w:r>
          <w:t>ADVERSITY IS ASSOCIATED WITH LOWER GENERAL PROCESSING SPEED</w:t>
        </w:r>
        <w:r>
          <w:tab/>
        </w:r>
        <w:r>
          <w:fldChar w:fldCharType="begin"/>
        </w:r>
        <w:r>
          <w:instrText>PAGE   \* MERGEFORMAT</w:instrText>
        </w:r>
        <w:r>
          <w:fldChar w:fldCharType="separate"/>
        </w:r>
        <w:r w:rsidRPr="00AF1415">
          <w:t>2</w:t>
        </w:r>
        <w:r>
          <w:fldChar w:fldCharType="end"/>
        </w:r>
      </w:p>
    </w:sdtContent>
  </w:sdt>
  <w:p w14:paraId="5C090E13" w14:textId="13C29E81" w:rsidR="002C192A" w:rsidRDefault="002C192A" w:rsidP="00457BB3">
    <w:pPr>
      <w:pStyle w:val="Header"/>
      <w:tabs>
        <w:tab w:val="clear" w:pos="4680"/>
        <w:tab w:val="clear" w:pos="9360"/>
        <w:tab w:val="left" w:pos="30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9449538"/>
      <w:docPartObj>
        <w:docPartGallery w:val="Page Numbers (Top of Page)"/>
        <w:docPartUnique/>
      </w:docPartObj>
    </w:sdtPr>
    <w:sdtContent>
      <w:p w14:paraId="40417823" w14:textId="3643C294" w:rsidR="002C192A" w:rsidRDefault="002C192A" w:rsidP="002C192A">
        <w:pPr>
          <w:pStyle w:val="Header"/>
        </w:pPr>
        <w:r>
          <w:t>RUNNING HEAD</w:t>
        </w:r>
        <w:r w:rsidR="00457BB3">
          <w:t>: Adversity is associated with lower general processing speed</w:t>
        </w:r>
        <w:r w:rsidR="00457BB3">
          <w:tab/>
        </w:r>
      </w:p>
    </w:sdtContent>
  </w:sdt>
  <w:p w14:paraId="42560071" w14:textId="4809EF71" w:rsidR="002C192A" w:rsidRDefault="002C192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12995791"/>
      <w:docPartObj>
        <w:docPartGallery w:val="Page Numbers (Top of Page)"/>
        <w:docPartUnique/>
      </w:docPartObj>
    </w:sdtPr>
    <w:sdtEndPr>
      <w:rPr>
        <w:rStyle w:val="PageNumber"/>
      </w:rPr>
    </w:sdtEndPr>
    <w:sdtContent>
      <w:p w14:paraId="0400A2E3" w14:textId="7777777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00A2E4" w14:textId="77777777" w:rsidR="00927188" w:rsidRDefault="00927188" w:rsidP="00C242AA">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70181308"/>
      <w:docPartObj>
        <w:docPartGallery w:val="Page Numbers (Top of Page)"/>
        <w:docPartUnique/>
      </w:docPartObj>
    </w:sdtPr>
    <w:sdtEndPr>
      <w:rPr>
        <w:rStyle w:val="PageNumber"/>
      </w:rPr>
    </w:sdtEndPr>
    <w:sdtContent>
      <w:p w14:paraId="0400A2E5" w14:textId="77777777"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0400A2E6" w14:textId="77777777" w:rsidR="00927188" w:rsidRPr="006275A3" w:rsidRDefault="00075DFD" w:rsidP="00FC055A">
    <w:pPr>
      <w:pStyle w:val="Header"/>
      <w:ind w:right="360"/>
    </w:pPr>
    <w:r>
      <w:t>INHIBITION AND ATTENTION SHIFTING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0A2E9" w14:textId="77777777" w:rsidR="00DE4A59" w:rsidRDefault="00AB2BAE">
    <w:pPr>
      <w:pStyle w:val="Header"/>
    </w:pPr>
    <w:r>
      <w:t xml:space="preserve">RUNNING HEAD: </w:t>
    </w:r>
    <w:r w:rsidR="00075DFD">
      <w:t>Inhibition and attention shifting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FE209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C8D6C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DAAB52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E2586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12A76F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E9E44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1F095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7C5D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B7C5D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E041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F23CB0E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0D49646C"/>
    <w:multiLevelType w:val="hybridMultilevel"/>
    <w:tmpl w:val="9A843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B16293"/>
    <w:multiLevelType w:val="hybridMultilevel"/>
    <w:tmpl w:val="FB9E7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74EF0"/>
    <w:multiLevelType w:val="hybridMultilevel"/>
    <w:tmpl w:val="66C64032"/>
    <w:lvl w:ilvl="0" w:tplc="08090001">
      <w:start w:val="4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EE4521"/>
    <w:multiLevelType w:val="hybridMultilevel"/>
    <w:tmpl w:val="CD3ABF7A"/>
    <w:lvl w:ilvl="0" w:tplc="D03E6A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A04147"/>
    <w:multiLevelType w:val="hybridMultilevel"/>
    <w:tmpl w:val="E5466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A7356"/>
    <w:multiLevelType w:val="hybridMultilevel"/>
    <w:tmpl w:val="550ADFCE"/>
    <w:lvl w:ilvl="0" w:tplc="131EBCB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B818A8"/>
    <w:multiLevelType w:val="hybridMultilevel"/>
    <w:tmpl w:val="4508C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895057"/>
    <w:multiLevelType w:val="hybridMultilevel"/>
    <w:tmpl w:val="098232E4"/>
    <w:lvl w:ilvl="0" w:tplc="B928E3D6">
      <w:start w:val="4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7787B65"/>
    <w:multiLevelType w:val="hybridMultilevel"/>
    <w:tmpl w:val="24265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5842113">
    <w:abstractNumId w:val="17"/>
  </w:num>
  <w:num w:numId="2" w16cid:durableId="1360425787">
    <w:abstractNumId w:val="11"/>
  </w:num>
  <w:num w:numId="3" w16cid:durableId="1436246501">
    <w:abstractNumId w:val="15"/>
  </w:num>
  <w:num w:numId="4" w16cid:durableId="670302708">
    <w:abstractNumId w:val="14"/>
  </w:num>
  <w:num w:numId="5" w16cid:durableId="1646809364">
    <w:abstractNumId w:val="16"/>
  </w:num>
  <w:num w:numId="6" w16cid:durableId="1282884847">
    <w:abstractNumId w:val="12"/>
  </w:num>
  <w:num w:numId="7" w16cid:durableId="794643028">
    <w:abstractNumId w:val="19"/>
  </w:num>
  <w:num w:numId="8" w16cid:durableId="446121770">
    <w:abstractNumId w:val="18"/>
  </w:num>
  <w:num w:numId="9" w16cid:durableId="926885728">
    <w:abstractNumId w:val="13"/>
  </w:num>
  <w:num w:numId="10" w16cid:durableId="1040863026">
    <w:abstractNumId w:val="0"/>
  </w:num>
  <w:num w:numId="11" w16cid:durableId="185949724">
    <w:abstractNumId w:val="1"/>
  </w:num>
  <w:num w:numId="12" w16cid:durableId="1050809296">
    <w:abstractNumId w:val="2"/>
  </w:num>
  <w:num w:numId="13" w16cid:durableId="156460958">
    <w:abstractNumId w:val="3"/>
  </w:num>
  <w:num w:numId="14" w16cid:durableId="716246245">
    <w:abstractNumId w:val="8"/>
  </w:num>
  <w:num w:numId="15" w16cid:durableId="87385763">
    <w:abstractNumId w:val="4"/>
  </w:num>
  <w:num w:numId="16" w16cid:durableId="1874999975">
    <w:abstractNumId w:val="5"/>
  </w:num>
  <w:num w:numId="17" w16cid:durableId="1758476899">
    <w:abstractNumId w:val="6"/>
  </w:num>
  <w:num w:numId="18" w16cid:durableId="2072386416">
    <w:abstractNumId w:val="7"/>
  </w:num>
  <w:num w:numId="19" w16cid:durableId="508297783">
    <w:abstractNumId w:val="9"/>
  </w:num>
  <w:num w:numId="20" w16cid:durableId="15023568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stylePaneFormatFilter w:val="1005" w:allStyles="1"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CF8"/>
    <w:rsid w:val="0000588D"/>
    <w:rsid w:val="00010E0A"/>
    <w:rsid w:val="00012F28"/>
    <w:rsid w:val="00023544"/>
    <w:rsid w:val="00023D0B"/>
    <w:rsid w:val="000263D0"/>
    <w:rsid w:val="00027FB2"/>
    <w:rsid w:val="00033528"/>
    <w:rsid w:val="000379D5"/>
    <w:rsid w:val="00040E1B"/>
    <w:rsid w:val="00044015"/>
    <w:rsid w:val="00045809"/>
    <w:rsid w:val="00060B38"/>
    <w:rsid w:val="0006764C"/>
    <w:rsid w:val="0007109A"/>
    <w:rsid w:val="00072979"/>
    <w:rsid w:val="00073017"/>
    <w:rsid w:val="00073914"/>
    <w:rsid w:val="00075DFD"/>
    <w:rsid w:val="00076876"/>
    <w:rsid w:val="0008469D"/>
    <w:rsid w:val="00085962"/>
    <w:rsid w:val="00086010"/>
    <w:rsid w:val="00086914"/>
    <w:rsid w:val="00087BA9"/>
    <w:rsid w:val="000902CF"/>
    <w:rsid w:val="00092573"/>
    <w:rsid w:val="000928F6"/>
    <w:rsid w:val="00094F89"/>
    <w:rsid w:val="000A4042"/>
    <w:rsid w:val="000B2448"/>
    <w:rsid w:val="000B63D5"/>
    <w:rsid w:val="000B6B76"/>
    <w:rsid w:val="000B7B07"/>
    <w:rsid w:val="000C0B2A"/>
    <w:rsid w:val="000C3252"/>
    <w:rsid w:val="000C4FC0"/>
    <w:rsid w:val="000C7171"/>
    <w:rsid w:val="000D0F9E"/>
    <w:rsid w:val="000E0EDB"/>
    <w:rsid w:val="000E1757"/>
    <w:rsid w:val="000E364A"/>
    <w:rsid w:val="000E4298"/>
    <w:rsid w:val="000F1499"/>
    <w:rsid w:val="000F5780"/>
    <w:rsid w:val="00101455"/>
    <w:rsid w:val="00101506"/>
    <w:rsid w:val="00102129"/>
    <w:rsid w:val="00102D22"/>
    <w:rsid w:val="00103B80"/>
    <w:rsid w:val="00115923"/>
    <w:rsid w:val="00130C3B"/>
    <w:rsid w:val="00131448"/>
    <w:rsid w:val="00133A17"/>
    <w:rsid w:val="001441F8"/>
    <w:rsid w:val="00147B27"/>
    <w:rsid w:val="00150E25"/>
    <w:rsid w:val="001543DA"/>
    <w:rsid w:val="00154BC2"/>
    <w:rsid w:val="00154EE2"/>
    <w:rsid w:val="00157EFB"/>
    <w:rsid w:val="00160556"/>
    <w:rsid w:val="00162719"/>
    <w:rsid w:val="00164CF8"/>
    <w:rsid w:val="001669B8"/>
    <w:rsid w:val="00170AFC"/>
    <w:rsid w:val="00171775"/>
    <w:rsid w:val="00173C41"/>
    <w:rsid w:val="00175071"/>
    <w:rsid w:val="00176F79"/>
    <w:rsid w:val="00185F85"/>
    <w:rsid w:val="0018625C"/>
    <w:rsid w:val="0018638A"/>
    <w:rsid w:val="00186B20"/>
    <w:rsid w:val="0019273D"/>
    <w:rsid w:val="00196326"/>
    <w:rsid w:val="001A4973"/>
    <w:rsid w:val="001A69C6"/>
    <w:rsid w:val="001C0170"/>
    <w:rsid w:val="001C08A6"/>
    <w:rsid w:val="001C0A33"/>
    <w:rsid w:val="001C687E"/>
    <w:rsid w:val="001C68EA"/>
    <w:rsid w:val="001D212D"/>
    <w:rsid w:val="001D2532"/>
    <w:rsid w:val="001D3F69"/>
    <w:rsid w:val="001D453D"/>
    <w:rsid w:val="001D6B0B"/>
    <w:rsid w:val="001D7051"/>
    <w:rsid w:val="001E1046"/>
    <w:rsid w:val="001E1143"/>
    <w:rsid w:val="001F0A5F"/>
    <w:rsid w:val="001F2A05"/>
    <w:rsid w:val="001F34F0"/>
    <w:rsid w:val="001F3D20"/>
    <w:rsid w:val="0020086D"/>
    <w:rsid w:val="0020207B"/>
    <w:rsid w:val="00213FC8"/>
    <w:rsid w:val="002146FC"/>
    <w:rsid w:val="00215FE6"/>
    <w:rsid w:val="00220047"/>
    <w:rsid w:val="002332FF"/>
    <w:rsid w:val="00234950"/>
    <w:rsid w:val="002358C2"/>
    <w:rsid w:val="00242257"/>
    <w:rsid w:val="002438A1"/>
    <w:rsid w:val="00243948"/>
    <w:rsid w:val="0024599B"/>
    <w:rsid w:val="0024703A"/>
    <w:rsid w:val="002478BF"/>
    <w:rsid w:val="002513E1"/>
    <w:rsid w:val="00254817"/>
    <w:rsid w:val="00257165"/>
    <w:rsid w:val="0025753B"/>
    <w:rsid w:val="00257874"/>
    <w:rsid w:val="00260685"/>
    <w:rsid w:val="00262DBF"/>
    <w:rsid w:val="0026333C"/>
    <w:rsid w:val="00271287"/>
    <w:rsid w:val="00272412"/>
    <w:rsid w:val="00273A5B"/>
    <w:rsid w:val="0028166F"/>
    <w:rsid w:val="00285E99"/>
    <w:rsid w:val="00292D3C"/>
    <w:rsid w:val="00294FB3"/>
    <w:rsid w:val="00295E28"/>
    <w:rsid w:val="002A4843"/>
    <w:rsid w:val="002A546D"/>
    <w:rsid w:val="002A6201"/>
    <w:rsid w:val="002B17E6"/>
    <w:rsid w:val="002B1938"/>
    <w:rsid w:val="002B4961"/>
    <w:rsid w:val="002B7D3F"/>
    <w:rsid w:val="002C192A"/>
    <w:rsid w:val="002C3015"/>
    <w:rsid w:val="002C3FC2"/>
    <w:rsid w:val="002C48DE"/>
    <w:rsid w:val="002C6D3A"/>
    <w:rsid w:val="002C6E30"/>
    <w:rsid w:val="002C7B34"/>
    <w:rsid w:val="002D0A1B"/>
    <w:rsid w:val="002D4605"/>
    <w:rsid w:val="002D5D1D"/>
    <w:rsid w:val="002E0EE5"/>
    <w:rsid w:val="002E1AB2"/>
    <w:rsid w:val="002E3603"/>
    <w:rsid w:val="002E46E3"/>
    <w:rsid w:val="002E481A"/>
    <w:rsid w:val="002F07B3"/>
    <w:rsid w:val="002F68B5"/>
    <w:rsid w:val="002F705B"/>
    <w:rsid w:val="002F7CE5"/>
    <w:rsid w:val="0031644B"/>
    <w:rsid w:val="00316A0C"/>
    <w:rsid w:val="00316F4B"/>
    <w:rsid w:val="00320783"/>
    <w:rsid w:val="00320904"/>
    <w:rsid w:val="00320FCD"/>
    <w:rsid w:val="00321494"/>
    <w:rsid w:val="003220BC"/>
    <w:rsid w:val="0033047C"/>
    <w:rsid w:val="003315CE"/>
    <w:rsid w:val="00334082"/>
    <w:rsid w:val="003402B5"/>
    <w:rsid w:val="0034209E"/>
    <w:rsid w:val="00345C99"/>
    <w:rsid w:val="00346693"/>
    <w:rsid w:val="00355F62"/>
    <w:rsid w:val="003651CD"/>
    <w:rsid w:val="003700AD"/>
    <w:rsid w:val="003737EF"/>
    <w:rsid w:val="0037685E"/>
    <w:rsid w:val="00382F86"/>
    <w:rsid w:val="00383126"/>
    <w:rsid w:val="00383A08"/>
    <w:rsid w:val="00385A58"/>
    <w:rsid w:val="00386D9C"/>
    <w:rsid w:val="00387DB2"/>
    <w:rsid w:val="00387E3A"/>
    <w:rsid w:val="00390343"/>
    <w:rsid w:val="003915EC"/>
    <w:rsid w:val="00392997"/>
    <w:rsid w:val="00392D21"/>
    <w:rsid w:val="003A0C72"/>
    <w:rsid w:val="003A438E"/>
    <w:rsid w:val="003B7949"/>
    <w:rsid w:val="003C201D"/>
    <w:rsid w:val="003C2597"/>
    <w:rsid w:val="003C40FC"/>
    <w:rsid w:val="003C4F61"/>
    <w:rsid w:val="003C50E3"/>
    <w:rsid w:val="003C5C59"/>
    <w:rsid w:val="003C61FC"/>
    <w:rsid w:val="003D21C4"/>
    <w:rsid w:val="003D2C03"/>
    <w:rsid w:val="003D679E"/>
    <w:rsid w:val="003D69DD"/>
    <w:rsid w:val="003D751C"/>
    <w:rsid w:val="003E5E38"/>
    <w:rsid w:val="003E6AB4"/>
    <w:rsid w:val="003E7382"/>
    <w:rsid w:val="003F7C25"/>
    <w:rsid w:val="004004B2"/>
    <w:rsid w:val="0040080F"/>
    <w:rsid w:val="00401900"/>
    <w:rsid w:val="00406A0B"/>
    <w:rsid w:val="00407F3E"/>
    <w:rsid w:val="004102AE"/>
    <w:rsid w:val="00412C68"/>
    <w:rsid w:val="00414E69"/>
    <w:rsid w:val="0041695B"/>
    <w:rsid w:val="00426116"/>
    <w:rsid w:val="00430429"/>
    <w:rsid w:val="00434448"/>
    <w:rsid w:val="00434608"/>
    <w:rsid w:val="00435F08"/>
    <w:rsid w:val="0043655A"/>
    <w:rsid w:val="00443B1C"/>
    <w:rsid w:val="0045020D"/>
    <w:rsid w:val="0045169D"/>
    <w:rsid w:val="00452DA3"/>
    <w:rsid w:val="00453D69"/>
    <w:rsid w:val="00454F2E"/>
    <w:rsid w:val="00457BB3"/>
    <w:rsid w:val="00457FB8"/>
    <w:rsid w:val="00466E8C"/>
    <w:rsid w:val="004674FA"/>
    <w:rsid w:val="0047465E"/>
    <w:rsid w:val="0047581B"/>
    <w:rsid w:val="00477464"/>
    <w:rsid w:val="004917FE"/>
    <w:rsid w:val="00493D77"/>
    <w:rsid w:val="004A2BD2"/>
    <w:rsid w:val="004A7557"/>
    <w:rsid w:val="004B051A"/>
    <w:rsid w:val="004B1164"/>
    <w:rsid w:val="004B50F8"/>
    <w:rsid w:val="004C067C"/>
    <w:rsid w:val="004C0958"/>
    <w:rsid w:val="004C6564"/>
    <w:rsid w:val="004C6B42"/>
    <w:rsid w:val="004C7CAF"/>
    <w:rsid w:val="004D5BC0"/>
    <w:rsid w:val="004E3DE6"/>
    <w:rsid w:val="004F0406"/>
    <w:rsid w:val="004F079B"/>
    <w:rsid w:val="004F07D8"/>
    <w:rsid w:val="004F0FA2"/>
    <w:rsid w:val="004F1670"/>
    <w:rsid w:val="004F306E"/>
    <w:rsid w:val="004F408F"/>
    <w:rsid w:val="004F40EC"/>
    <w:rsid w:val="004F50A4"/>
    <w:rsid w:val="0050038A"/>
    <w:rsid w:val="00504E17"/>
    <w:rsid w:val="005112A8"/>
    <w:rsid w:val="00512BA5"/>
    <w:rsid w:val="005135ED"/>
    <w:rsid w:val="005164DA"/>
    <w:rsid w:val="00523AC8"/>
    <w:rsid w:val="00523F10"/>
    <w:rsid w:val="005308BE"/>
    <w:rsid w:val="0053455F"/>
    <w:rsid w:val="005359C5"/>
    <w:rsid w:val="00541D59"/>
    <w:rsid w:val="00547D19"/>
    <w:rsid w:val="005500F9"/>
    <w:rsid w:val="00551620"/>
    <w:rsid w:val="00554187"/>
    <w:rsid w:val="0055550F"/>
    <w:rsid w:val="00567999"/>
    <w:rsid w:val="00567AD6"/>
    <w:rsid w:val="00572999"/>
    <w:rsid w:val="005744B4"/>
    <w:rsid w:val="00574D64"/>
    <w:rsid w:val="00575FBA"/>
    <w:rsid w:val="0057609B"/>
    <w:rsid w:val="00577861"/>
    <w:rsid w:val="00577A4B"/>
    <w:rsid w:val="00587D5C"/>
    <w:rsid w:val="005900E9"/>
    <w:rsid w:val="0059229B"/>
    <w:rsid w:val="005948C8"/>
    <w:rsid w:val="005973B5"/>
    <w:rsid w:val="005A0B1E"/>
    <w:rsid w:val="005A41CB"/>
    <w:rsid w:val="005A7796"/>
    <w:rsid w:val="005B092C"/>
    <w:rsid w:val="005B4A4A"/>
    <w:rsid w:val="005C367D"/>
    <w:rsid w:val="005C5F26"/>
    <w:rsid w:val="005C711D"/>
    <w:rsid w:val="005D19EB"/>
    <w:rsid w:val="005D6318"/>
    <w:rsid w:val="005D7A09"/>
    <w:rsid w:val="005E10A7"/>
    <w:rsid w:val="005E36AD"/>
    <w:rsid w:val="005F0112"/>
    <w:rsid w:val="005F16D7"/>
    <w:rsid w:val="005F2AFA"/>
    <w:rsid w:val="005F4D7E"/>
    <w:rsid w:val="006046B5"/>
    <w:rsid w:val="006069A7"/>
    <w:rsid w:val="00610B12"/>
    <w:rsid w:val="00611400"/>
    <w:rsid w:val="00611FCA"/>
    <w:rsid w:val="0061402A"/>
    <w:rsid w:val="00626841"/>
    <w:rsid w:val="006275A3"/>
    <w:rsid w:val="006314A4"/>
    <w:rsid w:val="00632C06"/>
    <w:rsid w:val="00636F49"/>
    <w:rsid w:val="00637039"/>
    <w:rsid w:val="0065438A"/>
    <w:rsid w:val="0065679E"/>
    <w:rsid w:val="00656BEC"/>
    <w:rsid w:val="00660E88"/>
    <w:rsid w:val="00661BBE"/>
    <w:rsid w:val="006720CF"/>
    <w:rsid w:val="00672BC7"/>
    <w:rsid w:val="0068125C"/>
    <w:rsid w:val="006854ED"/>
    <w:rsid w:val="006861CC"/>
    <w:rsid w:val="00695A2C"/>
    <w:rsid w:val="006A0577"/>
    <w:rsid w:val="006A3426"/>
    <w:rsid w:val="006B36AB"/>
    <w:rsid w:val="006B6456"/>
    <w:rsid w:val="006C44C8"/>
    <w:rsid w:val="006D6844"/>
    <w:rsid w:val="006F0793"/>
    <w:rsid w:val="006F52DC"/>
    <w:rsid w:val="006F6C8A"/>
    <w:rsid w:val="006F72E4"/>
    <w:rsid w:val="007006F5"/>
    <w:rsid w:val="00701FDC"/>
    <w:rsid w:val="00704E7F"/>
    <w:rsid w:val="00706457"/>
    <w:rsid w:val="007067C7"/>
    <w:rsid w:val="00707299"/>
    <w:rsid w:val="0071298A"/>
    <w:rsid w:val="007140F3"/>
    <w:rsid w:val="00714CFA"/>
    <w:rsid w:val="00717C95"/>
    <w:rsid w:val="007222BD"/>
    <w:rsid w:val="00722F8D"/>
    <w:rsid w:val="0072387D"/>
    <w:rsid w:val="00726406"/>
    <w:rsid w:val="007315E9"/>
    <w:rsid w:val="007325F1"/>
    <w:rsid w:val="0073351B"/>
    <w:rsid w:val="00736F7F"/>
    <w:rsid w:val="00740CA0"/>
    <w:rsid w:val="00744362"/>
    <w:rsid w:val="0074736F"/>
    <w:rsid w:val="007537A4"/>
    <w:rsid w:val="00756995"/>
    <w:rsid w:val="007578B3"/>
    <w:rsid w:val="007723B0"/>
    <w:rsid w:val="0077245E"/>
    <w:rsid w:val="007734CD"/>
    <w:rsid w:val="00774552"/>
    <w:rsid w:val="0077494E"/>
    <w:rsid w:val="0078274A"/>
    <w:rsid w:val="00783FB0"/>
    <w:rsid w:val="0078493C"/>
    <w:rsid w:val="00786492"/>
    <w:rsid w:val="00786E00"/>
    <w:rsid w:val="00792ACC"/>
    <w:rsid w:val="00794B31"/>
    <w:rsid w:val="00797856"/>
    <w:rsid w:val="0079792E"/>
    <w:rsid w:val="007A4892"/>
    <w:rsid w:val="007A630F"/>
    <w:rsid w:val="007C0668"/>
    <w:rsid w:val="007C63B0"/>
    <w:rsid w:val="007C72D1"/>
    <w:rsid w:val="007D0793"/>
    <w:rsid w:val="007D08A6"/>
    <w:rsid w:val="007D2B1D"/>
    <w:rsid w:val="007E0704"/>
    <w:rsid w:val="007E0893"/>
    <w:rsid w:val="007E14F4"/>
    <w:rsid w:val="007E6D86"/>
    <w:rsid w:val="007E6E38"/>
    <w:rsid w:val="008059CE"/>
    <w:rsid w:val="00810F0C"/>
    <w:rsid w:val="0081369A"/>
    <w:rsid w:val="0081548C"/>
    <w:rsid w:val="008159CA"/>
    <w:rsid w:val="00816636"/>
    <w:rsid w:val="00826724"/>
    <w:rsid w:val="00830085"/>
    <w:rsid w:val="008300DE"/>
    <w:rsid w:val="008303CF"/>
    <w:rsid w:val="0083092F"/>
    <w:rsid w:val="00840A8D"/>
    <w:rsid w:val="00843E56"/>
    <w:rsid w:val="00844588"/>
    <w:rsid w:val="00844A41"/>
    <w:rsid w:val="0084659C"/>
    <w:rsid w:val="008557D4"/>
    <w:rsid w:val="00865C2A"/>
    <w:rsid w:val="00866B32"/>
    <w:rsid w:val="00866B45"/>
    <w:rsid w:val="00867B2B"/>
    <w:rsid w:val="00872639"/>
    <w:rsid w:val="00873A9C"/>
    <w:rsid w:val="00873FCF"/>
    <w:rsid w:val="00875113"/>
    <w:rsid w:val="0087622A"/>
    <w:rsid w:val="00880743"/>
    <w:rsid w:val="00884D9D"/>
    <w:rsid w:val="008858B0"/>
    <w:rsid w:val="00892A55"/>
    <w:rsid w:val="00893A80"/>
    <w:rsid w:val="00897E0B"/>
    <w:rsid w:val="008A0806"/>
    <w:rsid w:val="008A1CBF"/>
    <w:rsid w:val="008A68DE"/>
    <w:rsid w:val="008A73DD"/>
    <w:rsid w:val="008A7A20"/>
    <w:rsid w:val="008B1B0B"/>
    <w:rsid w:val="008B2626"/>
    <w:rsid w:val="008B74D1"/>
    <w:rsid w:val="008C1E45"/>
    <w:rsid w:val="008C2FA1"/>
    <w:rsid w:val="008D4215"/>
    <w:rsid w:val="008D5AEE"/>
    <w:rsid w:val="008D6574"/>
    <w:rsid w:val="008D7104"/>
    <w:rsid w:val="008E1C81"/>
    <w:rsid w:val="008F2117"/>
    <w:rsid w:val="008F345C"/>
    <w:rsid w:val="008F3513"/>
    <w:rsid w:val="008F42D8"/>
    <w:rsid w:val="008F61E5"/>
    <w:rsid w:val="00901630"/>
    <w:rsid w:val="009037C3"/>
    <w:rsid w:val="00903DF3"/>
    <w:rsid w:val="00906556"/>
    <w:rsid w:val="009261DA"/>
    <w:rsid w:val="00927188"/>
    <w:rsid w:val="009271E4"/>
    <w:rsid w:val="009275F5"/>
    <w:rsid w:val="009306A5"/>
    <w:rsid w:val="0093301D"/>
    <w:rsid w:val="00935F81"/>
    <w:rsid w:val="00937E81"/>
    <w:rsid w:val="00943376"/>
    <w:rsid w:val="0094427A"/>
    <w:rsid w:val="00944B9A"/>
    <w:rsid w:val="00953C09"/>
    <w:rsid w:val="0095467E"/>
    <w:rsid w:val="00954B8F"/>
    <w:rsid w:val="009553DA"/>
    <w:rsid w:val="00960FBA"/>
    <w:rsid w:val="00962E5C"/>
    <w:rsid w:val="00964E29"/>
    <w:rsid w:val="0096786B"/>
    <w:rsid w:val="00970792"/>
    <w:rsid w:val="00980A80"/>
    <w:rsid w:val="009823BC"/>
    <w:rsid w:val="00985D53"/>
    <w:rsid w:val="009935A4"/>
    <w:rsid w:val="00996A17"/>
    <w:rsid w:val="00996EBF"/>
    <w:rsid w:val="009977DF"/>
    <w:rsid w:val="009A3E51"/>
    <w:rsid w:val="009A4C71"/>
    <w:rsid w:val="009B1599"/>
    <w:rsid w:val="009B47CB"/>
    <w:rsid w:val="009B48B7"/>
    <w:rsid w:val="009B5F6A"/>
    <w:rsid w:val="009B64AC"/>
    <w:rsid w:val="009B720A"/>
    <w:rsid w:val="009B7AFB"/>
    <w:rsid w:val="009D14AA"/>
    <w:rsid w:val="009D3DB1"/>
    <w:rsid w:val="009D4995"/>
    <w:rsid w:val="009E018F"/>
    <w:rsid w:val="009E3212"/>
    <w:rsid w:val="009E425B"/>
    <w:rsid w:val="009E4F13"/>
    <w:rsid w:val="009E6C14"/>
    <w:rsid w:val="009E7330"/>
    <w:rsid w:val="009F07D6"/>
    <w:rsid w:val="009F0EA3"/>
    <w:rsid w:val="009F2D6A"/>
    <w:rsid w:val="009F5904"/>
    <w:rsid w:val="009F6C45"/>
    <w:rsid w:val="009F709C"/>
    <w:rsid w:val="00A041B6"/>
    <w:rsid w:val="00A13951"/>
    <w:rsid w:val="00A14C1A"/>
    <w:rsid w:val="00A14C60"/>
    <w:rsid w:val="00A20ACB"/>
    <w:rsid w:val="00A23BA9"/>
    <w:rsid w:val="00A36C42"/>
    <w:rsid w:val="00A40518"/>
    <w:rsid w:val="00A46A2F"/>
    <w:rsid w:val="00A4794A"/>
    <w:rsid w:val="00A47B7E"/>
    <w:rsid w:val="00A5142E"/>
    <w:rsid w:val="00A54706"/>
    <w:rsid w:val="00A57B5A"/>
    <w:rsid w:val="00A63BB3"/>
    <w:rsid w:val="00A6644A"/>
    <w:rsid w:val="00A675B1"/>
    <w:rsid w:val="00A71C1B"/>
    <w:rsid w:val="00A7450C"/>
    <w:rsid w:val="00A7512A"/>
    <w:rsid w:val="00A76E6A"/>
    <w:rsid w:val="00A809EF"/>
    <w:rsid w:val="00A80D7B"/>
    <w:rsid w:val="00A856C7"/>
    <w:rsid w:val="00A875F5"/>
    <w:rsid w:val="00A939AE"/>
    <w:rsid w:val="00AA01C6"/>
    <w:rsid w:val="00AA347F"/>
    <w:rsid w:val="00AB223C"/>
    <w:rsid w:val="00AB2BAE"/>
    <w:rsid w:val="00AB3927"/>
    <w:rsid w:val="00AB4692"/>
    <w:rsid w:val="00AC0760"/>
    <w:rsid w:val="00AC0B4A"/>
    <w:rsid w:val="00AC1090"/>
    <w:rsid w:val="00AD26A1"/>
    <w:rsid w:val="00AD2B75"/>
    <w:rsid w:val="00AD2C61"/>
    <w:rsid w:val="00AD2F4B"/>
    <w:rsid w:val="00AD4DEF"/>
    <w:rsid w:val="00AD7B06"/>
    <w:rsid w:val="00AE08AD"/>
    <w:rsid w:val="00AE106E"/>
    <w:rsid w:val="00AE175D"/>
    <w:rsid w:val="00AE7371"/>
    <w:rsid w:val="00AE7AA6"/>
    <w:rsid w:val="00AF1415"/>
    <w:rsid w:val="00AF4265"/>
    <w:rsid w:val="00AF5F87"/>
    <w:rsid w:val="00AF69CC"/>
    <w:rsid w:val="00B069A9"/>
    <w:rsid w:val="00B10920"/>
    <w:rsid w:val="00B10DD8"/>
    <w:rsid w:val="00B1314A"/>
    <w:rsid w:val="00B1607B"/>
    <w:rsid w:val="00B2394A"/>
    <w:rsid w:val="00B26CCF"/>
    <w:rsid w:val="00B305EC"/>
    <w:rsid w:val="00B46CB8"/>
    <w:rsid w:val="00B53C68"/>
    <w:rsid w:val="00B55043"/>
    <w:rsid w:val="00B62A79"/>
    <w:rsid w:val="00B663B4"/>
    <w:rsid w:val="00B72710"/>
    <w:rsid w:val="00B751B2"/>
    <w:rsid w:val="00B7717C"/>
    <w:rsid w:val="00B77B41"/>
    <w:rsid w:val="00B822CD"/>
    <w:rsid w:val="00B82CF7"/>
    <w:rsid w:val="00B86E91"/>
    <w:rsid w:val="00B938BE"/>
    <w:rsid w:val="00B9438C"/>
    <w:rsid w:val="00B960AA"/>
    <w:rsid w:val="00BA581E"/>
    <w:rsid w:val="00BA7B73"/>
    <w:rsid w:val="00BA7EE5"/>
    <w:rsid w:val="00BB0E4A"/>
    <w:rsid w:val="00BB2AF3"/>
    <w:rsid w:val="00BB3366"/>
    <w:rsid w:val="00BB6694"/>
    <w:rsid w:val="00BC0A7D"/>
    <w:rsid w:val="00BC559D"/>
    <w:rsid w:val="00BD2EE8"/>
    <w:rsid w:val="00BD3A23"/>
    <w:rsid w:val="00BD3C01"/>
    <w:rsid w:val="00BD53A5"/>
    <w:rsid w:val="00BD6DEC"/>
    <w:rsid w:val="00BE00F3"/>
    <w:rsid w:val="00BE0DCB"/>
    <w:rsid w:val="00BE2DE5"/>
    <w:rsid w:val="00BE2E47"/>
    <w:rsid w:val="00BE36F6"/>
    <w:rsid w:val="00BE387E"/>
    <w:rsid w:val="00BE4486"/>
    <w:rsid w:val="00BE502D"/>
    <w:rsid w:val="00BE53F0"/>
    <w:rsid w:val="00BF750C"/>
    <w:rsid w:val="00C03449"/>
    <w:rsid w:val="00C03F14"/>
    <w:rsid w:val="00C05AA5"/>
    <w:rsid w:val="00C10AFB"/>
    <w:rsid w:val="00C111B3"/>
    <w:rsid w:val="00C13988"/>
    <w:rsid w:val="00C15FDD"/>
    <w:rsid w:val="00C227BD"/>
    <w:rsid w:val="00C242AA"/>
    <w:rsid w:val="00C33FC4"/>
    <w:rsid w:val="00C35174"/>
    <w:rsid w:val="00C43575"/>
    <w:rsid w:val="00C50B5C"/>
    <w:rsid w:val="00C511E4"/>
    <w:rsid w:val="00C61E15"/>
    <w:rsid w:val="00C627C9"/>
    <w:rsid w:val="00C62B92"/>
    <w:rsid w:val="00C6470B"/>
    <w:rsid w:val="00C647E6"/>
    <w:rsid w:val="00C6588B"/>
    <w:rsid w:val="00C66D90"/>
    <w:rsid w:val="00C75075"/>
    <w:rsid w:val="00C7765E"/>
    <w:rsid w:val="00C827EF"/>
    <w:rsid w:val="00C840FC"/>
    <w:rsid w:val="00C86121"/>
    <w:rsid w:val="00C87211"/>
    <w:rsid w:val="00C92E23"/>
    <w:rsid w:val="00CA0FE8"/>
    <w:rsid w:val="00CA32CE"/>
    <w:rsid w:val="00CA33DC"/>
    <w:rsid w:val="00CC0181"/>
    <w:rsid w:val="00CC248A"/>
    <w:rsid w:val="00CC2B0C"/>
    <w:rsid w:val="00CC3638"/>
    <w:rsid w:val="00CD010D"/>
    <w:rsid w:val="00CD27D6"/>
    <w:rsid w:val="00CD3488"/>
    <w:rsid w:val="00CD42DA"/>
    <w:rsid w:val="00CD5715"/>
    <w:rsid w:val="00CE08F6"/>
    <w:rsid w:val="00CE0EB4"/>
    <w:rsid w:val="00CE48D3"/>
    <w:rsid w:val="00CF6519"/>
    <w:rsid w:val="00CF7AB9"/>
    <w:rsid w:val="00D00360"/>
    <w:rsid w:val="00D00EC0"/>
    <w:rsid w:val="00D03929"/>
    <w:rsid w:val="00D03EA6"/>
    <w:rsid w:val="00D078E3"/>
    <w:rsid w:val="00D10C81"/>
    <w:rsid w:val="00D116FF"/>
    <w:rsid w:val="00D126FB"/>
    <w:rsid w:val="00D128BD"/>
    <w:rsid w:val="00D1593F"/>
    <w:rsid w:val="00D15C80"/>
    <w:rsid w:val="00D205A1"/>
    <w:rsid w:val="00D20A3A"/>
    <w:rsid w:val="00D21811"/>
    <w:rsid w:val="00D22274"/>
    <w:rsid w:val="00D24768"/>
    <w:rsid w:val="00D31B9E"/>
    <w:rsid w:val="00D33A4A"/>
    <w:rsid w:val="00D37191"/>
    <w:rsid w:val="00D4140E"/>
    <w:rsid w:val="00D4365D"/>
    <w:rsid w:val="00D44AA1"/>
    <w:rsid w:val="00D46CBB"/>
    <w:rsid w:val="00D4727F"/>
    <w:rsid w:val="00D47633"/>
    <w:rsid w:val="00D47AB2"/>
    <w:rsid w:val="00D47FE1"/>
    <w:rsid w:val="00D50BC2"/>
    <w:rsid w:val="00D55004"/>
    <w:rsid w:val="00D56367"/>
    <w:rsid w:val="00D6613C"/>
    <w:rsid w:val="00D66A6D"/>
    <w:rsid w:val="00D66D4D"/>
    <w:rsid w:val="00D71388"/>
    <w:rsid w:val="00D73A4F"/>
    <w:rsid w:val="00D82144"/>
    <w:rsid w:val="00D84900"/>
    <w:rsid w:val="00D864A1"/>
    <w:rsid w:val="00D92CB3"/>
    <w:rsid w:val="00D93029"/>
    <w:rsid w:val="00D96540"/>
    <w:rsid w:val="00DB2A19"/>
    <w:rsid w:val="00DB72A6"/>
    <w:rsid w:val="00DC4596"/>
    <w:rsid w:val="00DD08C6"/>
    <w:rsid w:val="00DD0D3C"/>
    <w:rsid w:val="00DD25BA"/>
    <w:rsid w:val="00DD26F6"/>
    <w:rsid w:val="00DD3634"/>
    <w:rsid w:val="00DD44D9"/>
    <w:rsid w:val="00DD6FC3"/>
    <w:rsid w:val="00DD7C7D"/>
    <w:rsid w:val="00DE4A59"/>
    <w:rsid w:val="00DE638A"/>
    <w:rsid w:val="00DE668C"/>
    <w:rsid w:val="00DF28D8"/>
    <w:rsid w:val="00DF5A6D"/>
    <w:rsid w:val="00E04807"/>
    <w:rsid w:val="00E05E36"/>
    <w:rsid w:val="00E104B6"/>
    <w:rsid w:val="00E1291F"/>
    <w:rsid w:val="00E15755"/>
    <w:rsid w:val="00E17E32"/>
    <w:rsid w:val="00E21E38"/>
    <w:rsid w:val="00E22A5D"/>
    <w:rsid w:val="00E22AB7"/>
    <w:rsid w:val="00E2541B"/>
    <w:rsid w:val="00E25E6C"/>
    <w:rsid w:val="00E26962"/>
    <w:rsid w:val="00E272F3"/>
    <w:rsid w:val="00E27DCC"/>
    <w:rsid w:val="00E31295"/>
    <w:rsid w:val="00E33DE7"/>
    <w:rsid w:val="00E34773"/>
    <w:rsid w:val="00E3493D"/>
    <w:rsid w:val="00E37E66"/>
    <w:rsid w:val="00E45BCF"/>
    <w:rsid w:val="00E4709E"/>
    <w:rsid w:val="00E4744C"/>
    <w:rsid w:val="00E53849"/>
    <w:rsid w:val="00E5567E"/>
    <w:rsid w:val="00E66BDE"/>
    <w:rsid w:val="00E70C85"/>
    <w:rsid w:val="00E717EB"/>
    <w:rsid w:val="00E82531"/>
    <w:rsid w:val="00E82FC0"/>
    <w:rsid w:val="00E83231"/>
    <w:rsid w:val="00E84ED5"/>
    <w:rsid w:val="00E908BF"/>
    <w:rsid w:val="00E93ACC"/>
    <w:rsid w:val="00E96124"/>
    <w:rsid w:val="00EA0CD2"/>
    <w:rsid w:val="00EA1670"/>
    <w:rsid w:val="00EA176E"/>
    <w:rsid w:val="00EA26DE"/>
    <w:rsid w:val="00EA33B5"/>
    <w:rsid w:val="00EA66AF"/>
    <w:rsid w:val="00EB42AC"/>
    <w:rsid w:val="00EB5E3F"/>
    <w:rsid w:val="00EB648A"/>
    <w:rsid w:val="00EB742B"/>
    <w:rsid w:val="00EC0276"/>
    <w:rsid w:val="00EC1A13"/>
    <w:rsid w:val="00EC568B"/>
    <w:rsid w:val="00EC5A3F"/>
    <w:rsid w:val="00EC65EC"/>
    <w:rsid w:val="00ED014F"/>
    <w:rsid w:val="00ED339E"/>
    <w:rsid w:val="00ED3FE3"/>
    <w:rsid w:val="00ED48DF"/>
    <w:rsid w:val="00EE11DE"/>
    <w:rsid w:val="00EE2063"/>
    <w:rsid w:val="00EE73FF"/>
    <w:rsid w:val="00EF28CF"/>
    <w:rsid w:val="00EF5D45"/>
    <w:rsid w:val="00EF7AE4"/>
    <w:rsid w:val="00EF7B0A"/>
    <w:rsid w:val="00F0341E"/>
    <w:rsid w:val="00F03B1E"/>
    <w:rsid w:val="00F040A9"/>
    <w:rsid w:val="00F17233"/>
    <w:rsid w:val="00F172B5"/>
    <w:rsid w:val="00F17B4D"/>
    <w:rsid w:val="00F21740"/>
    <w:rsid w:val="00F225F4"/>
    <w:rsid w:val="00F22EA1"/>
    <w:rsid w:val="00F2314B"/>
    <w:rsid w:val="00F2574C"/>
    <w:rsid w:val="00F3163F"/>
    <w:rsid w:val="00F33DCD"/>
    <w:rsid w:val="00F35006"/>
    <w:rsid w:val="00F3675F"/>
    <w:rsid w:val="00F45667"/>
    <w:rsid w:val="00F45D99"/>
    <w:rsid w:val="00F45ED4"/>
    <w:rsid w:val="00F460FA"/>
    <w:rsid w:val="00F5065B"/>
    <w:rsid w:val="00F5138E"/>
    <w:rsid w:val="00F52881"/>
    <w:rsid w:val="00F52A91"/>
    <w:rsid w:val="00F540D6"/>
    <w:rsid w:val="00F66152"/>
    <w:rsid w:val="00F70B0C"/>
    <w:rsid w:val="00F70E66"/>
    <w:rsid w:val="00F71BC3"/>
    <w:rsid w:val="00F720F8"/>
    <w:rsid w:val="00F72F82"/>
    <w:rsid w:val="00F73FC6"/>
    <w:rsid w:val="00F77097"/>
    <w:rsid w:val="00F80219"/>
    <w:rsid w:val="00F8242D"/>
    <w:rsid w:val="00F8586D"/>
    <w:rsid w:val="00F923BF"/>
    <w:rsid w:val="00F940D1"/>
    <w:rsid w:val="00FA167E"/>
    <w:rsid w:val="00FA1DB3"/>
    <w:rsid w:val="00FA4816"/>
    <w:rsid w:val="00FA65D9"/>
    <w:rsid w:val="00FA7986"/>
    <w:rsid w:val="00FB5AA0"/>
    <w:rsid w:val="00FB7EF8"/>
    <w:rsid w:val="00FC055A"/>
    <w:rsid w:val="00FC09E9"/>
    <w:rsid w:val="00FC0FEB"/>
    <w:rsid w:val="00FC1A03"/>
    <w:rsid w:val="00FC1DB8"/>
    <w:rsid w:val="00FC355C"/>
    <w:rsid w:val="00FD194E"/>
    <w:rsid w:val="00FD1DFB"/>
    <w:rsid w:val="00FD4FC3"/>
    <w:rsid w:val="00FD67A7"/>
    <w:rsid w:val="00FE0336"/>
    <w:rsid w:val="00FE44A0"/>
    <w:rsid w:val="00FE5434"/>
    <w:rsid w:val="00FE7CA3"/>
    <w:rsid w:val="00FF0FC3"/>
    <w:rsid w:val="00FF57EA"/>
    <w:rsid w:val="00FF6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00A05C"/>
  <w15:docId w15:val="{B006D151-1927-46BB-AB6D-A32961518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951"/>
    <w:pPr>
      <w:spacing w:line="480" w:lineRule="auto"/>
      <w:ind w:firstLine="720"/>
    </w:pPr>
    <w:rPr>
      <w:rFonts w:ascii="Times New Roman" w:eastAsia="Times New Roman" w:hAnsi="Times New Roman" w:cs="Times New Roman"/>
    </w:rPr>
  </w:style>
  <w:style w:type="paragraph" w:styleId="Heading1">
    <w:name w:val="heading 1"/>
    <w:basedOn w:val="Normal"/>
    <w:next w:val="Normal"/>
    <w:link w:val="Heading1Char"/>
    <w:uiPriority w:val="9"/>
    <w:qFormat/>
    <w:rsid w:val="002B1938"/>
    <w:pPr>
      <w:keepNext/>
      <w:keepLines/>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B1938"/>
    <w:pPr>
      <w:keepNext/>
      <w:keepLines/>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B1938"/>
    <w:pPr>
      <w:keepNext/>
      <w:keepLines/>
      <w:ind w:firstLine="0"/>
      <w:outlineLvl w:val="2"/>
    </w:pPr>
    <w:rPr>
      <w:rFonts w:eastAsiaTheme="majorEastAsia" w:cstheme="majorBidi"/>
      <w:b/>
      <w:i/>
      <w:color w:val="000000" w:themeColor="text1"/>
    </w:rPr>
  </w:style>
  <w:style w:type="paragraph" w:styleId="Heading4">
    <w:name w:val="heading 4"/>
    <w:basedOn w:val="Normal"/>
    <w:next w:val="authors"/>
    <w:link w:val="Heading4Char"/>
    <w:uiPriority w:val="9"/>
    <w:semiHidden/>
    <w:unhideWhenUsed/>
    <w:qFormat/>
    <w:rsid w:val="00611FCA"/>
    <w:pPr>
      <w:keepNext/>
      <w:keepLines/>
      <w:spacing w:before="40"/>
      <w:jc w:val="center"/>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CF8"/>
    <w:pPr>
      <w:ind w:left="720"/>
      <w:contextualSpacing/>
    </w:pPr>
  </w:style>
  <w:style w:type="paragraph" w:styleId="BalloonText">
    <w:name w:val="Balloon Text"/>
    <w:basedOn w:val="Normal"/>
    <w:link w:val="BalloonTextChar"/>
    <w:uiPriority w:val="99"/>
    <w:semiHidden/>
    <w:unhideWhenUsed/>
    <w:rsid w:val="0083092F"/>
    <w:rPr>
      <w:sz w:val="18"/>
      <w:szCs w:val="18"/>
    </w:rPr>
  </w:style>
  <w:style w:type="character" w:customStyle="1" w:styleId="BalloonTextChar">
    <w:name w:val="Balloon Text Char"/>
    <w:basedOn w:val="DefaultParagraphFont"/>
    <w:link w:val="BalloonText"/>
    <w:uiPriority w:val="99"/>
    <w:semiHidden/>
    <w:rsid w:val="0083092F"/>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3092F"/>
    <w:rPr>
      <w:sz w:val="16"/>
      <w:szCs w:val="16"/>
    </w:rPr>
  </w:style>
  <w:style w:type="paragraph" w:styleId="CommentText">
    <w:name w:val="annotation text"/>
    <w:basedOn w:val="Normal"/>
    <w:link w:val="CommentTextChar"/>
    <w:uiPriority w:val="99"/>
    <w:unhideWhenUsed/>
    <w:rsid w:val="0083092F"/>
    <w:rPr>
      <w:sz w:val="20"/>
      <w:szCs w:val="20"/>
    </w:rPr>
  </w:style>
  <w:style w:type="character" w:customStyle="1" w:styleId="CommentTextChar">
    <w:name w:val="Comment Text Char"/>
    <w:basedOn w:val="DefaultParagraphFont"/>
    <w:link w:val="CommentText"/>
    <w:uiPriority w:val="99"/>
    <w:rsid w:val="0083092F"/>
    <w:rPr>
      <w:sz w:val="20"/>
      <w:szCs w:val="20"/>
    </w:rPr>
  </w:style>
  <w:style w:type="paragraph" w:styleId="CommentSubject">
    <w:name w:val="annotation subject"/>
    <w:basedOn w:val="CommentText"/>
    <w:next w:val="CommentText"/>
    <w:link w:val="CommentSubjectChar"/>
    <w:uiPriority w:val="99"/>
    <w:semiHidden/>
    <w:unhideWhenUsed/>
    <w:rsid w:val="0083092F"/>
    <w:rPr>
      <w:b/>
      <w:bCs/>
    </w:rPr>
  </w:style>
  <w:style w:type="character" w:customStyle="1" w:styleId="CommentSubjectChar">
    <w:name w:val="Comment Subject Char"/>
    <w:basedOn w:val="CommentTextChar"/>
    <w:link w:val="CommentSubject"/>
    <w:uiPriority w:val="99"/>
    <w:semiHidden/>
    <w:rsid w:val="0083092F"/>
    <w:rPr>
      <w:b/>
      <w:bCs/>
      <w:sz w:val="20"/>
      <w:szCs w:val="20"/>
    </w:rPr>
  </w:style>
  <w:style w:type="paragraph" w:styleId="NormalWeb">
    <w:name w:val="Normal (Web)"/>
    <w:basedOn w:val="Normal"/>
    <w:uiPriority w:val="99"/>
    <w:semiHidden/>
    <w:unhideWhenUsed/>
    <w:rsid w:val="004F079B"/>
    <w:pPr>
      <w:spacing w:before="100" w:beforeAutospacing="1" w:after="100" w:afterAutospacing="1"/>
    </w:pPr>
  </w:style>
  <w:style w:type="paragraph" w:styleId="Header">
    <w:name w:val="header"/>
    <w:basedOn w:val="Normal"/>
    <w:link w:val="HeaderChar"/>
    <w:uiPriority w:val="99"/>
    <w:unhideWhenUsed/>
    <w:rsid w:val="00E3493D"/>
    <w:pPr>
      <w:tabs>
        <w:tab w:val="center" w:pos="4680"/>
        <w:tab w:val="right" w:pos="9360"/>
      </w:tabs>
      <w:spacing w:line="240" w:lineRule="auto"/>
      <w:ind w:firstLine="0"/>
    </w:pPr>
  </w:style>
  <w:style w:type="character" w:customStyle="1" w:styleId="HeaderChar">
    <w:name w:val="Header Char"/>
    <w:basedOn w:val="DefaultParagraphFont"/>
    <w:link w:val="Header"/>
    <w:uiPriority w:val="99"/>
    <w:rsid w:val="00E3493D"/>
    <w:rPr>
      <w:rFonts w:ascii="Times New Roman" w:eastAsia="Times New Roman" w:hAnsi="Times New Roman" w:cs="Times New Roman"/>
    </w:rPr>
  </w:style>
  <w:style w:type="paragraph" w:styleId="Footer">
    <w:name w:val="footer"/>
    <w:basedOn w:val="Normal"/>
    <w:link w:val="FooterChar"/>
    <w:uiPriority w:val="99"/>
    <w:unhideWhenUsed/>
    <w:rsid w:val="00C242AA"/>
    <w:pPr>
      <w:tabs>
        <w:tab w:val="center" w:pos="4680"/>
        <w:tab w:val="right" w:pos="9360"/>
      </w:tabs>
    </w:pPr>
  </w:style>
  <w:style w:type="character" w:customStyle="1" w:styleId="FooterChar">
    <w:name w:val="Footer Char"/>
    <w:basedOn w:val="DefaultParagraphFont"/>
    <w:link w:val="Footer"/>
    <w:uiPriority w:val="99"/>
    <w:rsid w:val="00C242AA"/>
  </w:style>
  <w:style w:type="character" w:styleId="PageNumber">
    <w:name w:val="page number"/>
    <w:basedOn w:val="DefaultParagraphFont"/>
    <w:uiPriority w:val="99"/>
    <w:unhideWhenUsed/>
    <w:rsid w:val="00DE4A59"/>
    <w:rPr>
      <w:rFonts w:ascii="Times New Roman" w:hAnsi="Times New Roman"/>
      <w:sz w:val="24"/>
    </w:rPr>
  </w:style>
  <w:style w:type="character" w:styleId="Hyperlink">
    <w:name w:val="Hyperlink"/>
    <w:basedOn w:val="DefaultParagraphFont"/>
    <w:uiPriority w:val="99"/>
    <w:unhideWhenUsed/>
    <w:rsid w:val="000928F6"/>
    <w:rPr>
      <w:color w:val="0563C1" w:themeColor="hyperlink"/>
      <w:u w:val="single"/>
    </w:rPr>
  </w:style>
  <w:style w:type="character" w:styleId="UnresolvedMention">
    <w:name w:val="Unresolved Mention"/>
    <w:basedOn w:val="DefaultParagraphFont"/>
    <w:uiPriority w:val="99"/>
    <w:semiHidden/>
    <w:unhideWhenUsed/>
    <w:rsid w:val="000928F6"/>
    <w:rPr>
      <w:color w:val="605E5C"/>
      <w:shd w:val="clear" w:color="auto" w:fill="E1DFDD"/>
    </w:rPr>
  </w:style>
  <w:style w:type="paragraph" w:styleId="Bibliography">
    <w:name w:val="Bibliography"/>
    <w:basedOn w:val="Normal"/>
    <w:next w:val="Normal"/>
    <w:uiPriority w:val="37"/>
    <w:unhideWhenUsed/>
    <w:rsid w:val="009F6C45"/>
    <w:pPr>
      <w:tabs>
        <w:tab w:val="left" w:pos="380"/>
      </w:tabs>
      <w:ind w:left="720" w:hanging="720"/>
    </w:pPr>
  </w:style>
  <w:style w:type="paragraph" w:styleId="BodyText">
    <w:name w:val="Body Text"/>
    <w:basedOn w:val="Normal"/>
    <w:link w:val="BodyTextChar"/>
    <w:uiPriority w:val="99"/>
    <w:unhideWhenUsed/>
    <w:rsid w:val="005C711D"/>
    <w:pPr>
      <w:spacing w:after="120"/>
    </w:pPr>
    <w:rPr>
      <w:rFonts w:eastAsiaTheme="minorEastAsia"/>
    </w:rPr>
  </w:style>
  <w:style w:type="character" w:customStyle="1" w:styleId="BodyTextChar">
    <w:name w:val="Body Text Char"/>
    <w:basedOn w:val="DefaultParagraphFont"/>
    <w:link w:val="BodyText"/>
    <w:uiPriority w:val="99"/>
    <w:rsid w:val="005C711D"/>
    <w:rPr>
      <w:rFonts w:ascii="Times New Roman" w:eastAsiaTheme="minorEastAsia" w:hAnsi="Times New Roman" w:cs="Times New Roman"/>
    </w:rPr>
  </w:style>
  <w:style w:type="character" w:styleId="FollowedHyperlink">
    <w:name w:val="FollowedHyperlink"/>
    <w:basedOn w:val="DefaultParagraphFont"/>
    <w:uiPriority w:val="99"/>
    <w:semiHidden/>
    <w:unhideWhenUsed/>
    <w:rsid w:val="00CD5715"/>
    <w:rPr>
      <w:color w:val="954F72" w:themeColor="followedHyperlink"/>
      <w:u w:val="single"/>
    </w:rPr>
  </w:style>
  <w:style w:type="paragraph" w:styleId="Revision">
    <w:name w:val="Revision"/>
    <w:hidden/>
    <w:uiPriority w:val="99"/>
    <w:semiHidden/>
    <w:rsid w:val="00CD5715"/>
  </w:style>
  <w:style w:type="table" w:styleId="TableGrid">
    <w:name w:val="Table Grid"/>
    <w:basedOn w:val="TableNormal"/>
    <w:uiPriority w:val="39"/>
    <w:rsid w:val="002C3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B1938"/>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2B1938"/>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2B1938"/>
    <w:rPr>
      <w:rFonts w:ascii="Times New Roman" w:eastAsiaTheme="majorEastAsia" w:hAnsi="Times New Roman" w:cstheme="majorBidi"/>
      <w:b/>
      <w:i/>
      <w:color w:val="000000" w:themeColor="text1"/>
    </w:rPr>
  </w:style>
  <w:style w:type="paragraph" w:styleId="Caption">
    <w:name w:val="caption"/>
    <w:basedOn w:val="Normal"/>
    <w:next w:val="Normal"/>
    <w:uiPriority w:val="35"/>
    <w:unhideWhenUsed/>
    <w:qFormat/>
    <w:rsid w:val="002C3FC2"/>
    <w:pPr>
      <w:spacing w:after="200"/>
      <w:ind w:firstLine="0"/>
    </w:pPr>
    <w:rPr>
      <w:b/>
      <w:iCs/>
      <w:color w:val="000000" w:themeColor="text1"/>
      <w:szCs w:val="18"/>
    </w:rPr>
  </w:style>
  <w:style w:type="paragraph" w:customStyle="1" w:styleId="ImageCaption">
    <w:name w:val="Image Caption"/>
    <w:basedOn w:val="Normal"/>
    <w:qFormat/>
    <w:rsid w:val="006314A4"/>
    <w:pPr>
      <w:spacing w:after="120" w:line="240" w:lineRule="auto"/>
      <w:ind w:firstLine="0"/>
    </w:pPr>
  </w:style>
  <w:style w:type="paragraph" w:customStyle="1" w:styleId="TableCaption">
    <w:name w:val="Table Caption"/>
    <w:basedOn w:val="Normal"/>
    <w:qFormat/>
    <w:rsid w:val="00BB0E4A"/>
    <w:pPr>
      <w:spacing w:line="240" w:lineRule="auto"/>
      <w:ind w:firstLine="0"/>
    </w:pPr>
    <w:rPr>
      <w:b/>
    </w:rPr>
  </w:style>
  <w:style w:type="paragraph" w:customStyle="1" w:styleId="Figure">
    <w:name w:val="Figure"/>
    <w:basedOn w:val="Normal"/>
    <w:qFormat/>
    <w:rsid w:val="0065679E"/>
    <w:pPr>
      <w:ind w:firstLine="0"/>
    </w:pPr>
  </w:style>
  <w:style w:type="character" w:customStyle="1" w:styleId="Heading4Char">
    <w:name w:val="Heading 4 Char"/>
    <w:basedOn w:val="DefaultParagraphFont"/>
    <w:link w:val="Heading4"/>
    <w:uiPriority w:val="9"/>
    <w:semiHidden/>
    <w:rsid w:val="00611FCA"/>
    <w:rPr>
      <w:rFonts w:ascii="Times New Roman" w:eastAsiaTheme="majorEastAsia" w:hAnsi="Times New Roman" w:cstheme="majorBidi"/>
      <w:iCs/>
      <w:color w:val="000000" w:themeColor="text1"/>
    </w:rPr>
  </w:style>
  <w:style w:type="paragraph" w:customStyle="1" w:styleId="authors">
    <w:name w:val="authors"/>
    <w:basedOn w:val="Heading4"/>
    <w:qFormat/>
    <w:rsid w:val="00611FCA"/>
  </w:style>
  <w:style w:type="paragraph" w:customStyle="1" w:styleId="SourceCode">
    <w:name w:val="Source Code"/>
    <w:basedOn w:val="Normal"/>
    <w:pPr>
      <w:shd w:val="clear" w:color="auto" w:fill="F1F3F5"/>
      <w:wordWrap w:val="0"/>
    </w:pPr>
  </w:style>
  <w:style w:type="character" w:customStyle="1" w:styleId="KeywordTok">
    <w:name w:val="KeywordTok"/>
    <w:rPr>
      <w:b/>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b/>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 w:type="character" w:styleId="LineNumber">
    <w:name w:val="line number"/>
    <w:basedOn w:val="DefaultParagraphFont"/>
    <w:uiPriority w:val="99"/>
    <w:semiHidden/>
    <w:unhideWhenUsed/>
    <w:rsid w:val="00AF14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59/000073003" TargetMode="External"/><Relationship Id="rId117" Type="http://schemas.openxmlformats.org/officeDocument/2006/relationships/theme" Target="theme/theme1.xml"/><Relationship Id="rId21" Type="http://schemas.openxmlformats.org/officeDocument/2006/relationships/hyperlink" Target="https://doi.org/10.3389/fnagi.2017.00054" TargetMode="External"/><Relationship Id="rId42" Type="http://schemas.openxmlformats.org/officeDocument/2006/relationships/hyperlink" Target="https://doi.org/10.1093/cercor/bhz091" TargetMode="External"/><Relationship Id="rId47" Type="http://schemas.openxmlformats.org/officeDocument/2006/relationships/hyperlink" Target="https://doi.org/10.1080/15248371003700031" TargetMode="External"/><Relationship Id="rId63" Type="http://schemas.openxmlformats.org/officeDocument/2006/relationships/hyperlink" Target="https://doi.org/10.1136/bmj.m3048" TargetMode="External"/><Relationship Id="rId68" Type="http://schemas.openxmlformats.org/officeDocument/2006/relationships/hyperlink" Target="https://doi.org/10.1111/j.1467-7687.2005.00394.x" TargetMode="External"/><Relationship Id="rId84" Type="http://schemas.openxmlformats.org/officeDocument/2006/relationships/hyperlink" Target="https://doi.org/10.3390/jintelligence4040013" TargetMode="External"/><Relationship Id="rId89" Type="http://schemas.openxmlformats.org/officeDocument/2006/relationships/hyperlink" Target="https://publications.aap.org/pediatrics/article-abstract/129/1/e232/31628" TargetMode="External"/><Relationship Id="rId112" Type="http://schemas.openxmlformats.org/officeDocument/2006/relationships/footer" Target="footer1.xml"/><Relationship Id="rId16" Type="http://schemas.openxmlformats.org/officeDocument/2006/relationships/image" Target="media/image3.png"/><Relationship Id="rId107" Type="http://schemas.openxmlformats.org/officeDocument/2006/relationships/hyperlink" Target="https://doi.org/10.1111/cdev.13766" TargetMode="External"/><Relationship Id="rId11" Type="http://schemas.openxmlformats.org/officeDocument/2006/relationships/header" Target="header1.xml"/><Relationship Id="rId32" Type="http://schemas.openxmlformats.org/officeDocument/2006/relationships/hyperlink" Target="https://doi.org/10.1037/xge0000783" TargetMode="External"/><Relationship Id="rId37" Type="http://schemas.openxmlformats.org/officeDocument/2006/relationships/hyperlink" Target="https://doi.org/10.1146/annurev-psych-122414-033645" TargetMode="External"/><Relationship Id="rId53" Type="http://schemas.openxmlformats.org/officeDocument/2006/relationships/hyperlink" Target="https://doi.org/10.3758/s13428-014-0458-y" TargetMode="External"/><Relationship Id="rId58" Type="http://schemas.openxmlformats.org/officeDocument/2006/relationships/hyperlink" Target="https://doi.org/10.1111/cdep.12305" TargetMode="External"/><Relationship Id="rId74" Type="http://schemas.openxmlformats.org/officeDocument/2006/relationships/hyperlink" Target="https://doi.org/10.1111/1467-9280.00067" TargetMode="External"/><Relationship Id="rId79" Type="http://schemas.openxmlformats.org/officeDocument/2006/relationships/hyperlink" Target="https://doi.org/10.1037/dev0000162" TargetMode="External"/><Relationship Id="rId102" Type="http://schemas.openxmlformats.org/officeDocument/2006/relationships/hyperlink" Target="https://doi.org/10.3758/BF03196893" TargetMode="External"/><Relationship Id="rId5" Type="http://schemas.openxmlformats.org/officeDocument/2006/relationships/footnotes" Target="footnotes.xml"/><Relationship Id="rId90" Type="http://schemas.openxmlformats.org/officeDocument/2006/relationships/hyperlink" Target="https://doi.org/10.1080/00140136308930679" TargetMode="External"/><Relationship Id="rId95" Type="http://schemas.openxmlformats.org/officeDocument/2006/relationships/hyperlink" Target="https://doi.org/10.1016/j.neubiorev.2022.104778" TargetMode="External"/><Relationship Id="rId22" Type="http://schemas.openxmlformats.org/officeDocument/2006/relationships/hyperlink" Target="https://doi.org/10.1002/cpz1.45" TargetMode="External"/><Relationship Id="rId27" Type="http://schemas.openxmlformats.org/officeDocument/2006/relationships/hyperlink" Target="https://doi.org/10.3389/neuro.08.016.2009" TargetMode="External"/><Relationship Id="rId43" Type="http://schemas.openxmlformats.org/officeDocument/2006/relationships/hyperlink" Target="https://doi.org/10.1080/09658211.2018.1561897" TargetMode="External"/><Relationship Id="rId48" Type="http://schemas.openxmlformats.org/officeDocument/2006/relationships/hyperlink" Target="https://doi.org/10.1001/jamapediatrics.2021.2511" TargetMode="External"/><Relationship Id="rId64" Type="http://schemas.openxmlformats.org/officeDocument/2006/relationships/hyperlink" Target="https://doi.org/10.1016/j.tins.2020.01.002" TargetMode="External"/><Relationship Id="rId69" Type="http://schemas.openxmlformats.org/officeDocument/2006/relationships/hyperlink" Target="https://doi.org/10.1111/jcpp.13241" TargetMode="External"/><Relationship Id="rId113" Type="http://schemas.openxmlformats.org/officeDocument/2006/relationships/footer" Target="footer2.xml"/><Relationship Id="rId80" Type="http://schemas.openxmlformats.org/officeDocument/2006/relationships/hyperlink" Target="https://doi.org/10.1037/pag0000288" TargetMode="External"/><Relationship Id="rId85" Type="http://schemas.openxmlformats.org/officeDocument/2006/relationships/hyperlink" Target="https://doi.org/10.3390/jintelligence4030007" TargetMode="External"/><Relationship Id="rId12" Type="http://schemas.openxmlformats.org/officeDocument/2006/relationships/header" Target="header2.xml"/><Relationship Id="rId17" Type="http://schemas.openxmlformats.org/officeDocument/2006/relationships/image" Target="media/image4.png"/><Relationship Id="rId33" Type="http://schemas.openxmlformats.org/officeDocument/2006/relationships/hyperlink" Target="https://doi.org/10.1017/S0954579420000887" TargetMode="External"/><Relationship Id="rId38" Type="http://schemas.openxmlformats.org/officeDocument/2006/relationships/hyperlink" Target="https://doi.org/10.1525/collabra.127" TargetMode="External"/><Relationship Id="rId59" Type="http://schemas.openxmlformats.org/officeDocument/2006/relationships/hyperlink" Target="https://doi.org/10.1111/j.1467-8624.2004.00746.x" TargetMode="External"/><Relationship Id="rId103" Type="http://schemas.openxmlformats.org/officeDocument/2006/relationships/hyperlink" Target="https://doi.org/10.1080/09541440802205067" TargetMode="External"/><Relationship Id="rId108" Type="http://schemas.openxmlformats.org/officeDocument/2006/relationships/hyperlink" Target="https://doi.org/10.1037/pspi0000124" TargetMode="External"/><Relationship Id="rId54" Type="http://schemas.openxmlformats.org/officeDocument/2006/relationships/hyperlink" Target="https://doi.org/10.1037/xge0000774" TargetMode="External"/><Relationship Id="rId70" Type="http://schemas.openxmlformats.org/officeDocument/2006/relationships/hyperlink" Target="https://doi.org/10.1016/j.spen.2016.12.002" TargetMode="External"/><Relationship Id="rId75" Type="http://schemas.openxmlformats.org/officeDocument/2006/relationships/hyperlink" Target="https://doi.org/10.1177/2470547018808295" TargetMode="External"/><Relationship Id="rId91" Type="http://schemas.openxmlformats.org/officeDocument/2006/relationships/hyperlink" Target="https://doi.org/10.1037/0882-7974.21.3.545" TargetMode="External"/><Relationship Id="rId96" Type="http://schemas.openxmlformats.org/officeDocument/2006/relationships/hyperlink" Target="https://doi.org/10.1093/ije/dyw341"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111/j.0956-7976.2004.00728.x" TargetMode="External"/><Relationship Id="rId28" Type="http://schemas.openxmlformats.org/officeDocument/2006/relationships/hyperlink" Target="https://doi.org/10.1016/j.cognition.2017.05.037" TargetMode="External"/><Relationship Id="rId49" Type="http://schemas.openxmlformats.org/officeDocument/2006/relationships/hyperlink" Target="https://doi.org/10.1016/j.neuropsychologia.2016.08.008" TargetMode="External"/><Relationship Id="rId114" Type="http://schemas.openxmlformats.org/officeDocument/2006/relationships/header" Target="header5.xml"/><Relationship Id="rId10" Type="http://schemas.openxmlformats.org/officeDocument/2006/relationships/hyperlink" Target="https://doi.org/10.57990/1gr4-bf42" TargetMode="External"/><Relationship Id="rId31" Type="http://schemas.openxmlformats.org/officeDocument/2006/relationships/hyperlink" Target="https://doi.org/10.1080/09297049.2021.1888905" TargetMode="External"/><Relationship Id="rId44" Type="http://schemas.openxmlformats.org/officeDocument/2006/relationships/hyperlink" Target="https://doi.org/10.1017/S0033291708002857" TargetMode="External"/><Relationship Id="rId52" Type="http://schemas.openxmlformats.org/officeDocument/2006/relationships/hyperlink" Target="https://doi.org/10.1177/2515245918770963" TargetMode="External"/><Relationship Id="rId60" Type="http://schemas.openxmlformats.org/officeDocument/2006/relationships/hyperlink" Target="https://doi.org/10.1002/icd.2286" TargetMode="External"/><Relationship Id="rId65" Type="http://schemas.openxmlformats.org/officeDocument/2006/relationships/hyperlink" Target="https://doi.org/10.1080/15248372.2022.2160723" TargetMode="External"/><Relationship Id="rId73" Type="http://schemas.openxmlformats.org/officeDocument/2006/relationships/hyperlink" Target="https://doi.org/10.1162/neco.2008.12-06-420" TargetMode="External"/><Relationship Id="rId78" Type="http://schemas.openxmlformats.org/officeDocument/2006/relationships/hyperlink" Target="https://doi.org/10.1016/j.neuroimage.2018.02.043" TargetMode="External"/><Relationship Id="rId81" Type="http://schemas.openxmlformats.org/officeDocument/2006/relationships/hyperlink" Target="https://doi.org/10.1111/desc.13267" TargetMode="External"/><Relationship Id="rId86" Type="http://schemas.openxmlformats.org/officeDocument/2006/relationships/hyperlink" Target="https://doi.org/10.1016/j.psyneuen.2013.05.001" TargetMode="External"/><Relationship Id="rId94" Type="http://schemas.openxmlformats.org/officeDocument/2006/relationships/hyperlink" Target="https://doi.org/10.1007/s10940-011-9160-8" TargetMode="External"/><Relationship Id="rId99" Type="http://schemas.openxmlformats.org/officeDocument/2006/relationships/hyperlink" Target="https://doi.org/10.1037/a0021765" TargetMode="External"/><Relationship Id="rId101" Type="http://schemas.openxmlformats.org/officeDocument/2006/relationships/hyperlink" Target="https://doi.org/10.1111/desc.13478" TargetMode="External"/><Relationship Id="rId4" Type="http://schemas.openxmlformats.org/officeDocument/2006/relationships/webSettings" Target="webSettings.xml"/><Relationship Id="rId9" Type="http://schemas.openxmlformats.org/officeDocument/2006/relationships/hyperlink" Target="https://doi.org/10.17026/dans-zch-j8xt" TargetMode="Externa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hyperlink" Target="https://doi.org/10.1177/0963721413484324" TargetMode="External"/><Relationship Id="rId109" Type="http://schemas.openxmlformats.org/officeDocument/2006/relationships/hyperlink" Target="https://doi.org/10.1017/S0954579424001433" TargetMode="External"/><Relationship Id="rId34" Type="http://schemas.openxmlformats.org/officeDocument/2006/relationships/hyperlink" Target="https://doi.org/10.3758/BF03203267" TargetMode="External"/><Relationship Id="rId50" Type="http://schemas.openxmlformats.org/officeDocument/2006/relationships/hyperlink" Target="https://doi.org/10.1016/j.jrp.2019.03.007" TargetMode="External"/><Relationship Id="rId55" Type="http://schemas.openxmlformats.org/officeDocument/2006/relationships/hyperlink" Target="https://doi.org/10.1007/s00426-023-01924-7" TargetMode="External"/><Relationship Id="rId76" Type="http://schemas.openxmlformats.org/officeDocument/2006/relationships/hyperlink" Target="https://doi.org/10.31234/osf.io/jvbfn" TargetMode="External"/><Relationship Id="rId97" Type="http://schemas.openxmlformats.org/officeDocument/2006/relationships/hyperlink" Target="https://doi.org/10.1016/j.lindif.2013.01.015" TargetMode="External"/><Relationship Id="rId104" Type="http://schemas.openxmlformats.org/officeDocument/2006/relationships/hyperlink" Target="https://doi.org/10.1016/j.cognition.2021.104818" TargetMode="External"/><Relationship Id="rId7" Type="http://schemas.openxmlformats.org/officeDocument/2006/relationships/image" Target="media/image1.png"/><Relationship Id="rId71" Type="http://schemas.openxmlformats.org/officeDocument/2006/relationships/hyperlink" Target="https://doi.org/10.1037/h0024913" TargetMode="External"/><Relationship Id="rId92" Type="http://schemas.openxmlformats.org/officeDocument/2006/relationships/hyperlink" Target="https://doi.org/10.1037/a0033981" TargetMode="External"/><Relationship Id="rId2" Type="http://schemas.openxmlformats.org/officeDocument/2006/relationships/styles" Target="styles.xml"/><Relationship Id="rId29" Type="http://schemas.openxmlformats.org/officeDocument/2006/relationships/hyperlink" Target="https://doi.org/10.1037/a0024436" TargetMode="External"/><Relationship Id="rId24" Type="http://schemas.openxmlformats.org/officeDocument/2006/relationships/hyperlink" Target="https://doi.org/10.31234/osf.io/x3b9k" TargetMode="External"/><Relationship Id="rId40" Type="http://schemas.openxmlformats.org/officeDocument/2006/relationships/hyperlink" Target="https://doi.org/10.1016/j.tics.2020.03.007" TargetMode="External"/><Relationship Id="rId45" Type="http://schemas.openxmlformats.org/officeDocument/2006/relationships/hyperlink" Target="https://doi.org/10.1016/j.econedurev.2021.102124" TargetMode="External"/><Relationship Id="rId66" Type="http://schemas.openxmlformats.org/officeDocument/2006/relationships/hyperlink" Target="https://doi.org/10.1007/s00787-023-02289-3" TargetMode="External"/><Relationship Id="rId87" Type="http://schemas.openxmlformats.org/officeDocument/2006/relationships/hyperlink" Target="https://doi.org/10.1016/j.tics.2014.09.001" TargetMode="External"/><Relationship Id="rId110" Type="http://schemas.openxmlformats.org/officeDocument/2006/relationships/header" Target="header3.xml"/><Relationship Id="rId115" Type="http://schemas.openxmlformats.org/officeDocument/2006/relationships/footer" Target="footer3.xml"/><Relationship Id="rId61" Type="http://schemas.openxmlformats.org/officeDocument/2006/relationships/hyperlink" Target="https://doi.org/10.1037/pspi0000028" TargetMode="External"/><Relationship Id="rId82" Type="http://schemas.openxmlformats.org/officeDocument/2006/relationships/hyperlink" Target="https://doi.org/10.1177/0759106310387713" TargetMode="External"/><Relationship Id="rId19" Type="http://schemas.openxmlformats.org/officeDocument/2006/relationships/image" Target="media/image6.png"/><Relationship Id="rId14" Type="http://schemas.openxmlformats.org/officeDocument/2006/relationships/hyperlink" Target="https://anonymous.4open.science/w/liss_ef_anon/" TargetMode="External"/><Relationship Id="rId30" Type="http://schemas.openxmlformats.org/officeDocument/2006/relationships/hyperlink" Target="https://doi.org/10.18637/jss.v071.i09" TargetMode="External"/><Relationship Id="rId35" Type="http://schemas.openxmlformats.org/officeDocument/2006/relationships/hyperlink" Target="https://doi.org/10.1016/j.brainres.2006.06.072" TargetMode="External"/><Relationship Id="rId56" Type="http://schemas.openxmlformats.org/officeDocument/2006/relationships/hyperlink" Target="https://doi.org/10.1111/j.2044-8260.1992.tb00997.x" TargetMode="External"/><Relationship Id="rId77" Type="http://schemas.openxmlformats.org/officeDocument/2006/relationships/hyperlink" Target="https://doi.org/10.1177/2515245917745629" TargetMode="External"/><Relationship Id="rId100" Type="http://schemas.openxmlformats.org/officeDocument/2006/relationships/hyperlink" Target="https://doi.org/10.1098/rsos.241837" TargetMode="External"/><Relationship Id="rId105" Type="http://schemas.openxmlformats.org/officeDocument/2006/relationships/hyperlink" Target="https://doi.org/10.1016/j.bpsgos.2021.02.001" TargetMode="External"/><Relationship Id="rId8" Type="http://schemas.openxmlformats.org/officeDocument/2006/relationships/hyperlink" Target="https://doi.org/10.17026/dans-zch-j8xt" TargetMode="External"/><Relationship Id="rId51" Type="http://schemas.openxmlformats.org/officeDocument/2006/relationships/hyperlink" Target="https://doi.org/10.1177/0886260520935096" TargetMode="External"/><Relationship Id="rId72" Type="http://schemas.openxmlformats.org/officeDocument/2006/relationships/hyperlink" Target="https://psycnet.apa.org/record/1978-30970-001" TargetMode="External"/><Relationship Id="rId93" Type="http://schemas.openxmlformats.org/officeDocument/2006/relationships/hyperlink" Target="https://doi.org/10.1037/a0018022" TargetMode="External"/><Relationship Id="rId98" Type="http://schemas.openxmlformats.org/officeDocument/2006/relationships/hyperlink" Target="https://doi.org/10.1111/psyp.12547" TargetMode="External"/><Relationship Id="rId3" Type="http://schemas.openxmlformats.org/officeDocument/2006/relationships/settings" Target="settings.xml"/><Relationship Id="rId25" Type="http://schemas.openxmlformats.org/officeDocument/2006/relationships/hyperlink" Target="https://doi.org/10.1111/desc.13451" TargetMode="External"/><Relationship Id="rId46" Type="http://schemas.openxmlformats.org/officeDocument/2006/relationships/hyperlink" Target="https://doi.org/10.1111/desc.12854" TargetMode="External"/><Relationship Id="rId67" Type="http://schemas.openxmlformats.org/officeDocument/2006/relationships/hyperlink" Target="https://doi.org/10.1080/15248372.2023.2248698" TargetMode="External"/><Relationship Id="rId11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doi.org/10.1016/j.intell.2019.05.003" TargetMode="External"/><Relationship Id="rId62" Type="http://schemas.openxmlformats.org/officeDocument/2006/relationships/hyperlink" Target="https://doi.org/10.1006/cogp.1999.0734" TargetMode="External"/><Relationship Id="rId83" Type="http://schemas.openxmlformats.org/officeDocument/2006/relationships/hyperlink" Target="https://doi.org/10.1037/0096-3445.136.3.414" TargetMode="External"/><Relationship Id="rId88" Type="http://schemas.openxmlformats.org/officeDocument/2006/relationships/hyperlink" Target="https://doi.org/10.1126/sciadv.abn4316" TargetMode="External"/><Relationship Id="rId111" Type="http://schemas.openxmlformats.org/officeDocument/2006/relationships/header" Target="header4.xml"/><Relationship Id="rId15" Type="http://schemas.openxmlformats.org/officeDocument/2006/relationships/hyperlink" Target="https://anonymous.4open.science/w/liss_ef_anon/" TargetMode="External"/><Relationship Id="rId36" Type="http://schemas.openxmlformats.org/officeDocument/2006/relationships/hyperlink" Target="https://doi.org/10.1111/desc.13133" TargetMode="External"/><Relationship Id="rId57" Type="http://schemas.openxmlformats.org/officeDocument/2006/relationships/hyperlink" Target="https://doi.org/10.1177/1745691621992346" TargetMode="External"/><Relationship Id="rId106" Type="http://schemas.openxmlformats.org/officeDocument/2006/relationships/hyperlink" Target="https://doi.org/10.3389/fninf.2013.000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57</Pages>
  <Words>15568</Words>
  <Characters>85627</Characters>
  <Application>Microsoft Office Word</Application>
  <DocSecurity>0</DocSecurity>
  <Lines>713</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Vermeent, P.C.S. (Stefan)</cp:lastModifiedBy>
  <cp:revision>4</cp:revision>
  <dcterms:created xsi:type="dcterms:W3CDTF">2024-12-18T13:41:00Z</dcterms:created>
  <dcterms:modified xsi:type="dcterms:W3CDTF">2024-12-18T14:08:00Z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