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D02F" w14:textId="77777777" w:rsidR="002523DC" w:rsidRDefault="00000000">
      <w:pPr>
        <w:pStyle w:val="Heading4"/>
      </w:pPr>
      <w:bookmarkStart w:id="0" w:name="X30eb0cfdc3f1e9dab4dce2d9c5da01de08677e7"/>
      <w:r>
        <w:rPr>
          <w:b/>
          <w:bCs/>
        </w:rPr>
        <w:t>Working memory performance in adverse environments: Enhanced, impaired, or intact?</w:t>
      </w:r>
    </w:p>
    <w:p w14:paraId="38B57836" w14:textId="77777777" w:rsidR="002523DC" w:rsidRDefault="002523DC"/>
    <w:p w14:paraId="24D180FE" w14:textId="77777777" w:rsidR="002523DC" w:rsidRPr="00DF5653" w:rsidRDefault="00000000">
      <w:pPr>
        <w:pStyle w:val="Heading4"/>
        <w:rPr>
          <w:lang w:val="nl-NL"/>
        </w:rPr>
      </w:pPr>
      <w:bookmarkStart w:id="1" w:name="X3db519fe3065244d31c984600b208c9dd8ac65f"/>
      <w:bookmarkEnd w:id="0"/>
      <w:r w:rsidRPr="00DF5653">
        <w:rPr>
          <w:lang w:val="nl-NL"/>
        </w:rPr>
        <w:t>Stefan Vermeent</w:t>
      </w:r>
      <w:r w:rsidRPr="00DF5653">
        <w:rPr>
          <w:vertAlign w:val="superscript"/>
          <w:lang w:val="nl-NL"/>
        </w:rPr>
        <w:t>1,2</w:t>
      </w:r>
      <w:r w:rsidRPr="00DF5653">
        <w:rPr>
          <w:lang w:val="nl-NL"/>
        </w:rPr>
        <w:t>, Anna-Lena Schubert</w:t>
      </w:r>
      <w:r w:rsidRPr="00DF5653">
        <w:rPr>
          <w:vertAlign w:val="superscript"/>
          <w:lang w:val="nl-NL"/>
        </w:rPr>
        <w:t>3</w:t>
      </w:r>
      <w:r w:rsidRPr="00DF5653">
        <w:rPr>
          <w:lang w:val="nl-NL"/>
        </w:rPr>
        <w:t>, Meriah L. DeJoseph</w:t>
      </w:r>
      <w:r w:rsidRPr="00DF5653">
        <w:rPr>
          <w:vertAlign w:val="superscript"/>
          <w:lang w:val="nl-NL"/>
        </w:rPr>
        <w:t>4</w:t>
      </w:r>
      <w:r w:rsidRPr="00DF5653">
        <w:rPr>
          <w:lang w:val="nl-NL"/>
        </w:rPr>
        <w:t>, Jaap J.A. Denissen</w:t>
      </w:r>
      <w:r w:rsidRPr="00DF5653">
        <w:rPr>
          <w:vertAlign w:val="superscript"/>
          <w:lang w:val="nl-NL"/>
        </w:rPr>
        <w:t>1</w:t>
      </w:r>
      <w:r w:rsidRPr="00DF5653">
        <w:rPr>
          <w:lang w:val="nl-NL"/>
        </w:rPr>
        <w:t>, Jean-Louis van Gelder</w:t>
      </w:r>
      <w:r w:rsidRPr="00DF5653">
        <w:rPr>
          <w:vertAlign w:val="superscript"/>
          <w:lang w:val="nl-NL"/>
        </w:rPr>
        <w:t>2,5</w:t>
      </w:r>
      <w:r w:rsidRPr="00DF5653">
        <w:rPr>
          <w:lang w:val="nl-NL"/>
        </w:rPr>
        <w:t>, &amp; Willem E. Frankenhuis</w:t>
      </w:r>
      <w:r w:rsidRPr="00DF5653">
        <w:rPr>
          <w:vertAlign w:val="superscript"/>
          <w:lang w:val="nl-NL"/>
        </w:rPr>
        <w:t>1,2,6</w:t>
      </w:r>
    </w:p>
    <w:p w14:paraId="144E4DCB" w14:textId="77777777" w:rsidR="002523DC" w:rsidRDefault="00000000">
      <w:pPr>
        <w:pStyle w:val="Heading4"/>
      </w:pPr>
      <w:bookmarkStart w:id="2" w:name="X912e48c8cd4526e58fc7c522592cced4bd0dd82"/>
      <w:bookmarkEnd w:id="1"/>
      <w:r>
        <w:rPr>
          <w:vertAlign w:val="superscript"/>
        </w:rPr>
        <w:t>1</w:t>
      </w:r>
      <w:r>
        <w:t xml:space="preserve"> Department of Psychology, Utrecht University, Utrecht, The Netherlands</w:t>
      </w:r>
    </w:p>
    <w:p w14:paraId="1B0B1D18" w14:textId="77777777" w:rsidR="002523DC" w:rsidRDefault="00000000">
      <w:pPr>
        <w:pStyle w:val="Heading4"/>
      </w:pPr>
      <w:bookmarkStart w:id="3" w:name="X77737caf8f6841e300b648240cb1ac8cc6d89bb"/>
      <w:bookmarkEnd w:id="2"/>
      <w:r>
        <w:rPr>
          <w:vertAlign w:val="superscript"/>
        </w:rPr>
        <w:t>2</w:t>
      </w:r>
      <w:r>
        <w:t xml:space="preserve"> Max Planck Institute for the Study of Crime, Security, and Law, Freiburg, Germany</w:t>
      </w:r>
    </w:p>
    <w:p w14:paraId="1467EBFA" w14:textId="77777777" w:rsidR="002523DC" w:rsidRDefault="00000000">
      <w:pPr>
        <w:pStyle w:val="Heading4"/>
      </w:pPr>
      <w:bookmarkStart w:id="4" w:name="X554bc173ea184840c70471cf1aa52e7ec845dc8"/>
      <w:bookmarkEnd w:id="3"/>
      <w:r>
        <w:rPr>
          <w:vertAlign w:val="superscript"/>
        </w:rPr>
        <w:t>3</w:t>
      </w:r>
      <w:r>
        <w:t xml:space="preserve"> Department of Psychology, University of Mainz, Mainz, Germany</w:t>
      </w:r>
    </w:p>
    <w:p w14:paraId="71D48985" w14:textId="77777777" w:rsidR="002523DC" w:rsidRDefault="00000000">
      <w:pPr>
        <w:pStyle w:val="Heading4"/>
      </w:pPr>
      <w:bookmarkStart w:id="5" w:name="Xd2383626d4348365a0a1194bce3ec5647d60108"/>
      <w:bookmarkEnd w:id="4"/>
      <w:r>
        <w:rPr>
          <w:vertAlign w:val="superscript"/>
        </w:rPr>
        <w:t>4</w:t>
      </w:r>
      <w:r>
        <w:t xml:space="preserve"> Graduate School of Education, Stanford University, USA</w:t>
      </w:r>
    </w:p>
    <w:p w14:paraId="01AC99E6" w14:textId="77777777" w:rsidR="002523DC" w:rsidRDefault="00000000">
      <w:pPr>
        <w:pStyle w:val="Heading4"/>
      </w:pPr>
      <w:bookmarkStart w:id="6" w:name="Xe22faa9fcfa6fc688390cb3f85fe2078c830aca"/>
      <w:bookmarkEnd w:id="5"/>
      <w:r>
        <w:rPr>
          <w:vertAlign w:val="superscript"/>
        </w:rPr>
        <w:t>5</w:t>
      </w:r>
      <w:r>
        <w:t xml:space="preserve"> Department of Education and Child Studies, Leiden University, Leiden, The Netherlands</w:t>
      </w:r>
    </w:p>
    <w:p w14:paraId="5598B34B" w14:textId="77777777" w:rsidR="002523DC" w:rsidRDefault="00000000">
      <w:pPr>
        <w:pStyle w:val="Heading4"/>
      </w:pPr>
      <w:bookmarkStart w:id="7" w:name="Xe3abdde720323c64d0f59a6f7347d11ebfdca55"/>
      <w:bookmarkEnd w:id="6"/>
      <w:r>
        <w:rPr>
          <w:vertAlign w:val="superscript"/>
        </w:rPr>
        <w:t>6</w:t>
      </w:r>
      <w:r>
        <w:t xml:space="preserve"> Evolutionary and Population Biology, Institute for Biodiversity and Ecosystem Dynamics, University of Amsterdam, Amsterdam, the Netherlands</w:t>
      </w:r>
    </w:p>
    <w:p w14:paraId="5E231A90" w14:textId="77777777" w:rsidR="002523DC" w:rsidRDefault="002523DC"/>
    <w:p w14:paraId="03BF00C0" w14:textId="77777777" w:rsidR="002523DC" w:rsidRDefault="00000000">
      <w:pPr>
        <w:pStyle w:val="Heading1"/>
      </w:pPr>
      <w:bookmarkStart w:id="8" w:name="data-availability"/>
      <w:bookmarkEnd w:id="7"/>
      <w:r>
        <w:t>Data Availability</w:t>
      </w:r>
    </w:p>
    <w:p w14:paraId="518C7195" w14:textId="77777777" w:rsidR="002523DC" w:rsidRDefault="00000000">
      <w:r>
        <w:t>All scripts and materials needed to reproduce the findings are available on the article’s Github repository (</w:t>
      </w:r>
      <w:hyperlink r:id="rId8">
        <w:r>
          <w:rPr>
            <w:rStyle w:val="Hyperlink"/>
          </w:rPr>
          <w:t>https://stefanvermeent.github.io/liss_wm_profiles_2023/</w:t>
        </w:r>
      </w:hyperlink>
      <w:r>
        <w:t xml:space="preserve">). We also include instructions on how to reproduce each step of our analyses, as well as simulated data to ensure computational reproducibility. In this paper, we make use of data from the LISS panel (Longitudinal Internet studies for the Social Sciences) managed by the non-profit research institute Centerdata (Tilburg University, the Netherlands). All datasets are available in the LISS data archive. Researchers who want to access the data are required to sign a statement </w:t>
      </w:r>
      <w:r>
        <w:lastRenderedPageBreak/>
        <w:t xml:space="preserve">confirming that information about individual persons, households, etc., will not be released to others (go to </w:t>
      </w:r>
      <w:hyperlink r:id="rId9">
        <w:r>
          <w:rPr>
            <w:rStyle w:val="Hyperlink"/>
          </w:rPr>
          <w:t>https://statements.centerdata.nl</w:t>
        </w:r>
      </w:hyperlink>
      <w:r>
        <w:t xml:space="preserve"> for more information).</w:t>
      </w:r>
    </w:p>
    <w:p w14:paraId="13EE44F0" w14:textId="77777777" w:rsidR="002523DC" w:rsidRDefault="00000000">
      <w:pPr>
        <w:pStyle w:val="Heading1"/>
      </w:pPr>
      <w:bookmarkStart w:id="9" w:name="funding-statement"/>
      <w:bookmarkEnd w:id="8"/>
      <w:r>
        <w:t>Funding statement</w:t>
      </w:r>
    </w:p>
    <w:p w14:paraId="36D75C91" w14:textId="77777777" w:rsidR="002523DC" w:rsidRDefault="00000000">
      <w:r>
        <w:t>WEF’s contributions have been supported by the Dutch Research Council (V1.Vidi.195.130) and the James S. McDonnell Foundation (https://doi.org/10.37717/220020502). MLD’s contributions have been supported by the NICHD National Research Service Award (#1F32HD112065-01). JLvG’s contributions have been supported by a Consolidator Grant from the European Research Council (772911– CRIMETIME).</w:t>
      </w:r>
    </w:p>
    <w:p w14:paraId="7F06F50C" w14:textId="77777777" w:rsidR="002523DC" w:rsidRDefault="00000000">
      <w:pPr>
        <w:pStyle w:val="Heading1"/>
      </w:pPr>
      <w:bookmarkStart w:id="10" w:name="disclosures"/>
      <w:bookmarkEnd w:id="9"/>
      <w:r>
        <w:t>Disclosures</w:t>
      </w:r>
    </w:p>
    <w:p w14:paraId="48F3CD69" w14:textId="77777777" w:rsidR="002523DC" w:rsidRDefault="00000000">
      <w:r>
        <w:t>We declare no conflicts of interest.</w:t>
      </w:r>
    </w:p>
    <w:p w14:paraId="4C1C1F51" w14:textId="77777777" w:rsidR="002523DC" w:rsidRDefault="00000000">
      <w:pPr>
        <w:pStyle w:val="Heading1"/>
      </w:pPr>
      <w:bookmarkStart w:id="11" w:name="ethics-approval-statement"/>
      <w:bookmarkEnd w:id="10"/>
      <w:r>
        <w:t>Ethics Approval Statement</w:t>
      </w:r>
    </w:p>
    <w:p w14:paraId="6DEA4F06" w14:textId="77777777" w:rsidR="002523DC" w:rsidRDefault="00000000">
      <w:r>
        <w:t>This study was approved by the Ethics Review Board of the Faculty of Social &amp; Behavioural Sciences of Utrecht University (FETC20-490) and the Ethics committee for research in the Sciences and Life Sciences of the University of Amsterdam (FNWI-41_2023).</w:t>
      </w:r>
    </w:p>
    <w:p w14:paraId="50E688E6" w14:textId="77777777" w:rsidR="002523DC" w:rsidRDefault="00000000">
      <w:r>
        <w:br w:type="page"/>
      </w:r>
    </w:p>
    <w:p w14:paraId="371EB2CD" w14:textId="77777777" w:rsidR="002523DC" w:rsidRDefault="00000000">
      <w:pPr>
        <w:pStyle w:val="Heading1"/>
      </w:pPr>
      <w:bookmarkStart w:id="12" w:name="proposal-abstract"/>
      <w:bookmarkEnd w:id="11"/>
      <w:r>
        <w:lastRenderedPageBreak/>
        <w:t>Proposal abstract</w:t>
      </w:r>
    </w:p>
    <w:p w14:paraId="2FBE34BF" w14:textId="77777777" w:rsidR="002523DC" w:rsidRDefault="00000000">
      <w:r>
        <w:t>Decades of research have documented that adversity tends to lower working memory (WM) performance. This literature has predominantly documented impairments in the overall capacity to hold information available in WM for further processing. However, a few recent studies, grounded in adaptation perspectives, suggest that certain types of adversity might leave intact, or even enhance, the ability to rapidly update information in WM. One important issue in estimating the relative degree of deficits and adaptations in WM is that common WM capacity and updating tasks covary substantially. This is likely due to the fact that both types of tasks require the creation and maintenance of bindings in WM, which are links between mental representations of information in WM. In order to estimate the associations between adversity and different processes in WM, we need to isolate variance in performance related to WM capacity from variance in performance related to updating ability. In this Registered Report, we combine archived and newly collected data in the Dutch Longitudinal Internet studies for the Social Sciences (LISS) panel. Participants completed three WM tasks: two complex span tasks and a task measuring both binding and updating of information. In addition, we will derive estimates of participants’ exposure to neighborhood threat, material deprivation, and unpredictability. Using structural equation modeling, we will estimate associations between the three types of adversity and latent estimates of WM capacity and updating. These findings will advance our theoretical understanding of how adversity is associated with WM, which will aid the development of interventions aimed at alleviating performance difficulties and leveraging areas of strengths.</w:t>
      </w:r>
    </w:p>
    <w:p w14:paraId="2EFA47CC" w14:textId="77777777" w:rsidR="002523DC" w:rsidRDefault="00000000">
      <w:r>
        <w:br w:type="page"/>
      </w:r>
    </w:p>
    <w:p w14:paraId="52A130BB" w14:textId="77777777" w:rsidR="002523DC" w:rsidRDefault="00000000">
      <w:pPr>
        <w:pStyle w:val="Heading1"/>
      </w:pPr>
      <w:bookmarkStart w:id="13" w:name="X91ed55db11dce926eaa3263068266c0182062b8"/>
      <w:bookmarkEnd w:id="12"/>
      <w:r>
        <w:lastRenderedPageBreak/>
        <w:t>Working memory performance in adverse environments: Enhanced, impaired, or intact?</w:t>
      </w:r>
    </w:p>
    <w:p w14:paraId="0CD744B0" w14:textId="77777777" w:rsidR="002523DC" w:rsidRDefault="00000000">
      <w:r>
        <w:t>Living in adverse conditions, with prolonged exposure to intense stress, tends to have a profound and enduring impact on cognitive functioning (Sheridan et al., 2022; Sheridan &amp; McLaughlin, 2014). A domain that seems to be particularly affected by adversity is working memory (WM). WM is a system for mentally building, maintaining, and updating immediately relevant information (Oberauer et al., 2018). performance on WM tasks is associated with a host of social and cognitive abilities, such as math (Peng &amp; Fuchs, 2016), reading (Chiappe et al., 2000), learning (Cowan, 2014), general intelligence (Conway et al., 2003), and mentalizing (Mutter et al., 2006). Not surprisingly, then, deficits in WM have negative consequences for both educational and professional outcomes (Ahmed et al., 2018; Alloway &amp; Alloway, 2010; Guo et al., 2020; Spiegel et al., 2021). Decades of research show that adversity is generally negatively associated with performance on WM tasks (Goodman et al., 2019). However, emerging evidence suggests that specific aspects of WM might remain intact or even be enhanced through developmental adaptations to adversity. So far, the literature has tended to focus on related, but different aspects of WM in isolation, limiting a fuller integration. Here, we take a psychometric modeling approach to simultaneously examine potential decreases and enhancements in two WM components: capacity and updating.</w:t>
      </w:r>
    </w:p>
    <w:p w14:paraId="3972C3BE" w14:textId="77777777" w:rsidR="002523DC" w:rsidRDefault="00000000">
      <w:pPr>
        <w:pStyle w:val="Heading1"/>
      </w:pPr>
      <w:bookmarkStart w:id="14" w:name="X14c1ac803256539c6e84829981f823d08ad9e46"/>
      <w:bookmarkEnd w:id="13"/>
      <w:r>
        <w:t>Deficit-based and adaptation-based models</w:t>
      </w:r>
    </w:p>
    <w:p w14:paraId="02CC2585" w14:textId="77777777" w:rsidR="002523DC" w:rsidRPr="00CE080D" w:rsidRDefault="00000000">
      <w:r>
        <w:t xml:space="preserve">A large literature has shown negative associations between exposures to adversity and performance on WM tasks, potentially attributable to the enduring influence of stress on several key brain regions that support WM (Duval et al., 2017; Hanson et al., 2012). Much of this work has focused on WM capacity, or the ability to keep multiple pieces of information simultaneously available for further processing. For early-life adversity, this negative association </w:t>
      </w:r>
      <w:r>
        <w:lastRenderedPageBreak/>
        <w:t xml:space="preserve">is already present during </w:t>
      </w:r>
      <w:r w:rsidRPr="00CE080D">
        <w:t xml:space="preserve">childhood, and persists into adulthood (Bos et al., 2009; Evans &amp; Schamberg, 2009; Farah et al., 2006; Goodman et al., 2019; Hackman et al., 2010; Noble et al., 2007; but see Nweze et al., 2021). Other studies have found a similar link between recent and lifetime experiences of stressful major life events (which is not the same as chronic adversity) with lowered WM capacity in college student samples (Klein &amp; Boals, 2001; Shields et al., 2019, 2017). The most common tasks used to examine this link are simple span tasks (repeating a string of stimuli of increasing length), complex span tasks (remembering a string of stimuli while being engaged by a secondary task), and </w:t>
      </w:r>
      <w:r w:rsidRPr="00CE080D">
        <w:rPr>
          <w:i/>
          <w:iCs/>
        </w:rPr>
        <w:t>n</w:t>
      </w:r>
      <w:r w:rsidRPr="00CE080D">
        <w:t xml:space="preserve">-back tasks (judging whether the current stimulus in a string is identical to the stimulus </w:t>
      </w:r>
      <w:r w:rsidRPr="00CE080D">
        <w:rPr>
          <w:i/>
          <w:iCs/>
        </w:rPr>
        <w:t>n</w:t>
      </w:r>
      <w:r w:rsidRPr="00CE080D">
        <w:t xml:space="preserve"> steps ago) (Goodman et al., 2019). Performance on these tasks is assessed through the number of items that participants can retain in WM, that is, their overall capacity (with the exception of </w:t>
      </w:r>
      <w:r w:rsidRPr="00CE080D">
        <w:rPr>
          <w:i/>
          <w:iCs/>
        </w:rPr>
        <w:t>n</w:t>
      </w:r>
      <w:r w:rsidRPr="00CE080D">
        <w:t>-back; for concerns about the construct validity of this task, see Frost et al., 2021; Kane et al., 2007).</w:t>
      </w:r>
    </w:p>
    <w:p w14:paraId="6CC81C75" w14:textId="77777777" w:rsidR="002523DC" w:rsidRPr="00CE080D" w:rsidRDefault="00000000">
      <w:pPr>
        <w:pStyle w:val="BodyText"/>
      </w:pPr>
      <w:r w:rsidRPr="00CE080D">
        <w:t xml:space="preserve">Although both early-life and recent adversity appear to be negatively associated with WM capacity, a small set of studies suggest that exposure to adversity may leave intact, or even enhance, the ability to update items in WM (Young et al., 2018, 2022). Updating is defined as the ability to rapidly replace old information in WM with new information. The finding that updating may be left intact or even enhanced after exposure to adversity exemplifies emerging theoretical frameworks grounded in adaptive reasoning that are complementary to deficit frameworks (Ellis et al., 2017, 2022; Frankenhuis et al., 2020; Frankenhuis &amp; Weerth, 2013). Adaptation frameworks assume that developmental processes tailor an individual’s cognitive abilities to the unique challenges and opportunities posed by their environment. The link between adversity and cognitive abilities is further assumed to be specific; as different types of adversity (e.g., threat vs. deprivation) pose different challenges, they should (at least in part) shape </w:t>
      </w:r>
      <w:r w:rsidRPr="00CE080D">
        <w:lastRenderedPageBreak/>
        <w:t>cognitive abilities in different ways. WM updating has been argued to be especially adaptive in environments that are unpredictable, which can be defined as random variation in adversity exposure over space or time (Ellis et al., 2009). In such environments, WM updating allows people to maintain an up-to-date overview of the current state of the environment (Young et al., 2018). Additionally, improved WM updating performance has also been documented for threat exposure (Young et al., 2022). An enhanced WM updating ability could facilitate keeping track of and integrating signals that may potentially signal acutely threatening situations.</w:t>
      </w:r>
    </w:p>
    <w:p w14:paraId="53F896BD" w14:textId="77777777" w:rsidR="002523DC" w:rsidRPr="00CE080D" w:rsidRDefault="00000000">
      <w:pPr>
        <w:pStyle w:val="Heading1"/>
      </w:pPr>
      <w:bookmarkStart w:id="15" w:name="Xf042180fc78c93e8d2de0dc30aee61eff6b69c2"/>
      <w:bookmarkEnd w:id="14"/>
      <w:r w:rsidRPr="00CE080D">
        <w:t>Associations between WM capacity and updating</w:t>
      </w:r>
    </w:p>
    <w:p w14:paraId="02BBA02A" w14:textId="62D8679E" w:rsidR="002523DC" w:rsidRPr="00CE080D" w:rsidRDefault="00000000">
      <w:r w:rsidRPr="00CE080D">
        <w:t xml:space="preserve">With deficit frameworks mainly focusing on WM capacity and adaptation frameworks on WM updating, we may wonder how capacity and updating are related to each other. Tasks measuring WM capacity and updating tend to show substantial overlap (Wilhelm et al., 2013). Research investigating individual differences in WM capacity and WM in general suggests that this overlap between WM tasks stems from the fact that they all rely on the process of building and maintaining arbitrary bindings (Gruszka &amp; Nęcka, 2017; Oberauer, 2009; Wilhelm et al., 2013). </w:t>
      </w:r>
      <w:r w:rsidRPr="00CE080D">
        <w:rPr>
          <w:i/>
          <w:iCs/>
        </w:rPr>
        <w:t>binding</w:t>
      </w:r>
      <w:r w:rsidRPr="00CE080D">
        <w:t xml:space="preserve"> is defined as the process of creating links between mental representations of information in WM </w:t>
      </w:r>
      <w:r w:rsidR="00DF5653" w:rsidRPr="00CE080D">
        <w:t>(</w:t>
      </w:r>
      <w:proofErr w:type="spellStart"/>
      <w:r w:rsidR="00DF5653" w:rsidRPr="00CE080D">
        <w:t>Oberauer</w:t>
      </w:r>
      <w:proofErr w:type="spellEnd"/>
      <w:r w:rsidR="00DF5653" w:rsidRPr="00CE080D">
        <w:t xml:space="preserve">, 2009, 2019). </w:t>
      </w:r>
      <w:r w:rsidRPr="00CE080D">
        <w:t>For example, on most WM tasks, correct recall of memory items is contingent on remembering them in their correct serial position, or in relation to the location where they were presented.</w:t>
      </w:r>
    </w:p>
    <w:p w14:paraId="72FC1404" w14:textId="3C226BCA" w:rsidR="002523DC" w:rsidRPr="00CE080D" w:rsidRDefault="00000000">
      <w:pPr>
        <w:pStyle w:val="BodyText"/>
      </w:pPr>
      <w:r w:rsidRPr="00CE080D">
        <w:t xml:space="preserve">The centrality of binding in WM is supported by theoretical models of WM (Oberauer et al., 2000; Oberauer, 2009) as well as empirical work demonstrating (latent) WM capacity is strongly related to the ability to maintain bindings (Oberauer, 2005, 2019; Wilhelm et al., 2013). Hence, the number of bindings a person can create and maintain in WM is argued to be the main limiting factor in WM capacity, as maintaining several bindings at the same time will </w:t>
      </w:r>
      <w:r w:rsidRPr="00CE080D">
        <w:lastRenderedPageBreak/>
        <w:t xml:space="preserve">increasingly lead to interference between them (Gruszka &amp; Nęcka, 2017; Oberauer, 2009; Wilhelm et al., 2013). This upper limit on WM capacity also affects performance on WM updating tasks. That is, updating specific items in WM requires not just dissolving </w:t>
      </w:r>
      <w:r w:rsidR="00DF5653" w:rsidRPr="00CE080D">
        <w:t xml:space="preserve">old bindings </w:t>
      </w:r>
      <w:r w:rsidRPr="00CE080D">
        <w:t xml:space="preserve">and replacing </w:t>
      </w:r>
      <w:r w:rsidR="00DF5653" w:rsidRPr="00CE080D">
        <w:t>them with</w:t>
      </w:r>
      <w:r w:rsidRPr="00CE080D">
        <w:t xml:space="preserve"> new bindings, but also maintaining bindings of items that should not be updated. Thus, the overlap in performance on WM updating and capacity tasks likely stems from the fact that both types of tasks require a person to create and maintain bindings in WM (Ecker et al., 2010; Frischkorn et al., 2022; Oberauer et al., 2000; Schmiedek et al., 2009; Wilhelm et al., 2013).</w:t>
      </w:r>
    </w:p>
    <w:p w14:paraId="4B98D677" w14:textId="77777777" w:rsidR="002523DC" w:rsidRDefault="00000000">
      <w:pPr>
        <w:pStyle w:val="BodyText"/>
      </w:pPr>
      <w:r w:rsidRPr="00CE080D">
        <w:t>Nevertheless, WM updating tasks additionally require the updating of established</w:t>
      </w:r>
      <w:r>
        <w:t xml:space="preserve"> bindings, which sets them apart from WM capacity tasks (Ecker et al., 2010; Frischkorn et al., 2022). Different updating tasks require different combinations of retrieval (making information available for immediate processing), transformation (changing a prior value into a new one, e.g., by addition or subtraction), and substitution (replacing a prior value for a new value) (Ecker et al., 2010). Ecker et al. (2010) included three measures of WM capacity as well as eight versions of a WM updating measure that required different combinations of retrieval, transformation, and substitution. After accounting for overall updating accuracy (which was positively correlated with WM capacity), they found positive correlations of around .50 between WM capacity with latent estimates of retrieval and transformation accuracy, but not with a latent estimate of substitution accuracy. Thus, when the ability to accurately substitute old with new information—a key aspect of WM updating—is sufficiently isolated from WM capacity using latent modeling, capacity and updating seem to be independent components of WM.</w:t>
      </w:r>
    </w:p>
    <w:p w14:paraId="41686B1F" w14:textId="77777777" w:rsidR="002523DC" w:rsidRDefault="00000000">
      <w:pPr>
        <w:pStyle w:val="BodyText"/>
      </w:pPr>
      <w:r>
        <w:t xml:space="preserve">These findings underscore the importance of accounting for WM capacity when assessing a person’s WM updating ability. This is especially important in the context of adversity research, </w:t>
      </w:r>
      <w:r>
        <w:lastRenderedPageBreak/>
        <w:t>as previous studies suggest that certain types of adverse conditions might have opposing effects on WM capacity and updating (e.g., Goodman et al., 2019; Young et al., 2018, 2022). Yet, to our knowledge, no previous research has analyzed both abilities within a single statistical model. This could lead to (1) an underestimation of the extent to which adversity undermines WM capacity, and (2) underestimation of the extent to which adversity can enhance WM updating. This, in turn, has implications for basic and applied science. For basic science, it could bias inferences about individual differences in performance on WM tasks, especially when the negative association between adversity and WM capacity is stronger than the positive association with WM updating. For applied science, it could hide from view potential pathways to leverage people’s existing strengths in school or work contexts.</w:t>
      </w:r>
    </w:p>
    <w:p w14:paraId="5DE26092" w14:textId="77777777" w:rsidR="002523DC" w:rsidRDefault="00000000">
      <w:pPr>
        <w:pStyle w:val="Heading1"/>
      </w:pPr>
      <w:bookmarkStart w:id="16" w:name="current-study"/>
      <w:bookmarkEnd w:id="15"/>
      <w:r>
        <w:t>Current study</w:t>
      </w:r>
    </w:p>
    <w:p w14:paraId="509FB8D9" w14:textId="77777777" w:rsidR="002523DC" w:rsidRDefault="00000000">
      <w:r>
        <w:t xml:space="preserve">In this study, we will estimate associations between three types of adversity exposure and latent estimates of WM capacity and updating. Specifically, we will measure exposure to two forms of harshness: </w:t>
      </w:r>
      <w:r>
        <w:rPr>
          <w:i/>
          <w:iCs/>
        </w:rPr>
        <w:t>neighborhood threat</w:t>
      </w:r>
      <w:r>
        <w:t xml:space="preserve"> (perceived neighborhood safety, personal crime victimization), and </w:t>
      </w:r>
      <w:r>
        <w:rPr>
          <w:i/>
          <w:iCs/>
        </w:rPr>
        <w:t>material deprivation</w:t>
      </w:r>
      <w:r>
        <w:t xml:space="preserve"> (perceived scarcity, income-to-needs). We also include a measure of </w:t>
      </w:r>
      <w:r>
        <w:rPr>
          <w:i/>
          <w:iCs/>
        </w:rPr>
        <w:t>unpredictability</w:t>
      </w:r>
      <w:r>
        <w:t xml:space="preserve">, indexed as variability in material deprivation over time. Together, these adversity types capture key dimensions in contemporary models of adversity (threat vs. deprivation vs. unpredictability; Ellis et al., 2009, 2022; McLaughlin et al., 2021; McLaughlin &amp; Sheridan, 2016). We will not calculate unpredictability in neighborhood threat given that participants have at most six timepoints, and often as few as one or two, which is insufficient to calculate variation over time (Walasek et al., 2023). We will address three research questions. First, how strong is the association between adversity and WM capacity? Second, how strong is the association between adversity and WM updating </w:t>
      </w:r>
      <w:r>
        <w:rPr>
          <w:i/>
          <w:iCs/>
        </w:rPr>
        <w:t>after</w:t>
      </w:r>
      <w:r>
        <w:t xml:space="preserve"> accounting for </w:t>
      </w:r>
      <w:r>
        <w:lastRenderedPageBreak/>
        <w:t>WM capacity? Third, are the directions and strengths of these associations similar or different for neighborhood threat, material deprivation, and unpredictability?</w:t>
      </w:r>
    </w:p>
    <w:p w14:paraId="1A8347AF" w14:textId="77777777" w:rsidR="002523DC" w:rsidRDefault="00000000">
      <w:pPr>
        <w:pStyle w:val="BodyText"/>
      </w:pPr>
      <w:r>
        <w:t>We will evaluate evidence for deficit and adaptation frameworks. Rather than banking on specific predictions, we will describe how each of four different combinations of lowered, enhanced, and intact WM capacity and updating performance would be consistent with deficit and adaptation frameworks (For a summary, see Figure 1A). Crucially, we assume that deficit and adaptation processes can operate simultaneously (Frankenhuis et al., 2020), meaning that we could find support or a lack of support for both frameworks in the same model. Lowered performance on WM capacity or updating, but not enhanced or intact performance, would be consistent with deficit frameworks. This follows from previous literature hypothesizing broad WM deficits (Farah et al., 2006; Sheridan et al., 2020). Two different patterns would be consistent with adaptation frameworks: First, if performance on WM updating is enhanced, regardless of WM capacity performance. Second, if performance on WM updating is intact, but only in combination with lowered WM capacity performance. If both updating and capacity are intact, this would instead suggest that the WM system is unaffected by adversity; neither impairment nor adaptative processes have shaped WM. That pattern would be inconsistent with both deficit and adaptation frameworks.</w:t>
      </w:r>
    </w:p>
    <w:p w14:paraId="3961B8CD" w14:textId="77777777" w:rsidR="002523DC" w:rsidRDefault="002523DC">
      <w:pPr>
        <w:pStyle w:val="BodyText"/>
      </w:pPr>
    </w:p>
    <w:tbl>
      <w:tblPr>
        <w:tblW w:w="5000" w:type="pct"/>
        <w:tblLook w:val="0000" w:firstRow="0" w:lastRow="0" w:firstColumn="0" w:lastColumn="0" w:noHBand="0" w:noVBand="0"/>
      </w:tblPr>
      <w:tblGrid>
        <w:gridCol w:w="9360"/>
      </w:tblGrid>
      <w:tr w:rsidR="002523DC" w14:paraId="3C921DF5" w14:textId="77777777">
        <w:tc>
          <w:tcPr>
            <w:tcW w:w="0" w:type="auto"/>
          </w:tcPr>
          <w:p w14:paraId="74FB5B19" w14:textId="77777777" w:rsidR="002523DC" w:rsidRPr="007C3467" w:rsidRDefault="00000000">
            <w:pPr>
              <w:pStyle w:val="Figure"/>
              <w:jc w:val="center"/>
              <w:rPr>
                <w:lang w:val="en-GB"/>
              </w:rPr>
            </w:pPr>
            <w:r>
              <w:rPr>
                <w:noProof/>
              </w:rPr>
              <w:lastRenderedPageBreak/>
              <w:drawing>
                <wp:inline distT="0" distB="0" distL="0" distR="0" wp14:anchorId="367D6671" wp14:editId="03CFCB34">
                  <wp:extent cx="5486400" cy="512471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g/fig1.png"/>
                          <pic:cNvPicPr>
                            <a:picLocks noChangeAspect="1" noChangeArrowheads="1"/>
                          </pic:cNvPicPr>
                        </pic:nvPicPr>
                        <pic:blipFill>
                          <a:blip r:embed="rId10"/>
                          <a:stretch>
                            <a:fillRect/>
                          </a:stretch>
                        </pic:blipFill>
                        <pic:spPr bwMode="auto">
                          <a:xfrm>
                            <a:off x="0" y="0"/>
                            <a:ext cx="5486400" cy="5124710"/>
                          </a:xfrm>
                          <a:prstGeom prst="rect">
                            <a:avLst/>
                          </a:prstGeom>
                          <a:noFill/>
                          <a:ln w="9525">
                            <a:noFill/>
                            <a:headEnd/>
                            <a:tailEnd/>
                          </a:ln>
                        </pic:spPr>
                      </pic:pic>
                    </a:graphicData>
                  </a:graphic>
                </wp:inline>
              </w:drawing>
            </w:r>
          </w:p>
          <w:p w14:paraId="69E2CAFC" w14:textId="77777777" w:rsidR="002523DC" w:rsidRDefault="00000000">
            <w:pPr>
              <w:pStyle w:val="ImageCaption"/>
              <w:spacing w:before="200"/>
            </w:pPr>
            <w:r>
              <w:rPr>
                <w:b/>
                <w:bCs/>
              </w:rPr>
              <w:t>Figure 1.</w:t>
            </w:r>
            <w:r>
              <w:t xml:space="preserve"> Overview of predictions derived from deficit and adaptation frameworks. Panel A depicts the most likely data patterns based on previous literature, and whether we would consider them consistent with deficit and adaptation frameworks (see the main text for more details). Panel B depicts an overview of the Structural Equation Model. Ellipses represent latent variables, rectangles represent manifest variables, and circles represent residual variances. Unidirectional solid lines represent factor loadings, bidirectional solid lines represent covariances, and dashed lines represent regression paths. All four manifest WM measures load on a latent WM capacity factor, reflecting the fact that people have to hold information active in WM on all tasks. We fix the loading of WM capacity on the Binding Task to 1, reflecting the idea that the ability to create and maintain bindings is the main limiting factor in WM capacity (Gruszka &amp; Nęcka, 2017; Oberauer, 2009; Wilhelm et al., 2013). WM updating is modeled as a latent factor capturing the residual variance in the updating task after accounting for variance related to WM capacity.</w:t>
            </w:r>
          </w:p>
        </w:tc>
      </w:tr>
    </w:tbl>
    <w:p w14:paraId="4C9415DF" w14:textId="77777777" w:rsidR="002523DC" w:rsidRDefault="002523DC">
      <w:pPr>
        <w:pStyle w:val="BodyText"/>
      </w:pPr>
    </w:p>
    <w:p w14:paraId="6817EBFE" w14:textId="77777777" w:rsidR="002523DC" w:rsidRDefault="00000000">
      <w:pPr>
        <w:pStyle w:val="Heading1"/>
      </w:pPr>
      <w:bookmarkStart w:id="17" w:name="methods"/>
      <w:bookmarkEnd w:id="16"/>
      <w:r>
        <w:lastRenderedPageBreak/>
        <w:t>Methods</w:t>
      </w:r>
    </w:p>
    <w:p w14:paraId="78C56342" w14:textId="77777777" w:rsidR="002523DC" w:rsidRDefault="00000000">
      <w:pPr>
        <w:pStyle w:val="Heading2"/>
      </w:pPr>
      <w:bookmarkStart w:id="18" w:name="participants"/>
      <w:r>
        <w:t>Participants</w:t>
      </w:r>
    </w:p>
    <w:p w14:paraId="477DE212" w14:textId="77777777" w:rsidR="002523DC" w:rsidRDefault="00000000">
      <w:r>
        <w:t>We collected data in the Longitudinal Internet studies for the Social Sciences (LISS) panel (Scherpenzeel, 2011). The LISS panel is a representative probability sample of roughly 5,000 Dutch households (~7,500 individuals) drawn from the population register by Statistics Netherlands on an invite-only basis. Households without a computer or internet connection are provided with these facilities by LISS. Each year, participants complete the same core battery of questionnaires about—among other topics—their financial situation in the past year. In addition, participants can complete additional online questionnaires every month, with variable content. The current study integrates two data sources. First, we will use data that were previously collected in LISS (hereafter referred to as the LISS archive). Second, we will use new data that we collected ourselves in LISS between October 2nd and December 22nd, 2023 (hereafter referred to as newly collected data). We signed a contract with LISS stipulating that we will receive access to the data only after Stage 1 acceptance of this Registered Report.</w:t>
      </w:r>
    </w:p>
    <w:p w14:paraId="4356B98F" w14:textId="77777777" w:rsidR="002523DC" w:rsidRDefault="00000000">
      <w:pPr>
        <w:pStyle w:val="BodyText"/>
      </w:pPr>
      <w:r>
        <w:t>We based our power analysis on simulations reported by Kretzschmar &amp; Gignac (2019), determining the required sample size to detect a small effect size (</w:t>
      </w:r>
      <m:oMath>
        <m:r>
          <w:rPr>
            <w:rFonts w:ascii="Cambria Math" w:hAnsi="Cambria Math"/>
          </w:rPr>
          <m:t>β</m:t>
        </m:r>
      </m:oMath>
      <w:r>
        <w:t xml:space="preserve"> = 0.1) with at least 90% power at </w:t>
      </w:r>
      <m:oMath>
        <m:r>
          <w:rPr>
            <w:rFonts w:ascii="Cambria Math" w:hAnsi="Cambria Math"/>
          </w:rPr>
          <m:t>α</m:t>
        </m:r>
      </m:oMath>
      <w:r>
        <w:t xml:space="preserve"> = 0.05. Assuming a reliability of at least 0.7 (which is typical for WM tasks with a number of trials similar to ours; e.g., Wilhelm et al., 2013), we would require a sample size of </w:t>
      </w:r>
      <w:r>
        <w:rPr>
          <w:i/>
          <w:iCs/>
        </w:rPr>
        <w:t>N</w:t>
      </w:r>
      <w:r>
        <w:t xml:space="preserve"> = 730. Anticipating some exclusions, we decided to include 800 participants. Participants were eligible for inclusion if they 1) were currently between 18 and 55 years old, 2) had completed at least one wave of an archived longitudinal LISS study containing measures that we use to operationalize crime neighborhood threat (see below), and 3) had given permission to link their LISS data to government microdata (not relevant here).</w:t>
      </w:r>
    </w:p>
    <w:p w14:paraId="711987CD" w14:textId="77777777" w:rsidR="002523DC" w:rsidRDefault="00000000">
      <w:pPr>
        <w:pStyle w:val="BodyText"/>
      </w:pPr>
      <w:r>
        <w:lastRenderedPageBreak/>
        <w:t xml:space="preserve">To ensure sufficient representation of people from lower socioeconomic backgrounds, </w:t>
      </w:r>
      <w:r>
        <w:rPr>
          <w:i/>
          <w:iCs/>
        </w:rPr>
        <w:t>half</w:t>
      </w:r>
      <w:r>
        <w:t xml:space="preserve"> the total sample was sampled from participants who reported one or more of the following at least once in the three years: (1) a monthly income &lt; €1,500, (2) HAVO or VWO as highest completed education (which are the two highest levels in Dutch secondary education), or (3) a score of 4 or lower on the ‘ladder of life’ (“If you imagine a ‘ladder of life’, where the first step represents the worst possible life, and the tenth (top) step the best possible life, on what step would you place yourself?”). Participants will be excluded if they (1) switched to and interacted with other browser tabs </w:t>
      </w:r>
      <w:r>
        <w:rPr>
          <w:i/>
          <w:iCs/>
        </w:rPr>
        <w:t>during</w:t>
      </w:r>
      <w:r>
        <w:t xml:space="preserve"> one or more of the cognitive tasks, (2) did not perform above chance level</w:t>
      </w:r>
    </w:p>
    <w:p w14:paraId="7B7BB00A" w14:textId="77777777" w:rsidR="002523DC" w:rsidRDefault="00000000">
      <w:pPr>
        <w:pStyle w:val="Heading2"/>
      </w:pPr>
      <w:bookmarkStart w:id="19" w:name="measures"/>
      <w:bookmarkEnd w:id="18"/>
      <w:r>
        <w:t>Measures</w:t>
      </w:r>
    </w:p>
    <w:p w14:paraId="531D777A" w14:textId="77777777" w:rsidR="002523DC" w:rsidRDefault="00000000">
      <w:pPr>
        <w:pStyle w:val="Heading3"/>
      </w:pPr>
      <w:bookmarkStart w:id="20" w:name="neighborhood-threat"/>
      <w:r>
        <w:t>Neighborhood threat</w:t>
      </w:r>
    </w:p>
    <w:p w14:paraId="2C7D694D" w14:textId="77777777" w:rsidR="002523DC" w:rsidRDefault="00000000">
      <w:r>
        <w:rPr>
          <w:b/>
          <w:bCs/>
        </w:rPr>
        <w:t>Perceived neighborhood crime.</w:t>
      </w:r>
      <w:r>
        <w:t xml:space="preserve"> We included four items from the LISS archive collected across six waves (</w:t>
      </w:r>
      <w:hyperlink r:id="rId11">
        <w:r>
          <w:rPr>
            <w:rStyle w:val="Hyperlink"/>
          </w:rPr>
          <w:t>https://doi.org/10.17026/dans-zch-j8xt</w:t>
        </w:r>
      </w:hyperlink>
      <w:r>
        <w:t>), in which participants answered how often it happens that they 1) “avoid certain areas in your place of residence because you perceive them as unsafe”, 2) “do not respond to a call at the door because you feel that it is unsafe”, 3) “leave valuable items at home to avoid theft or robbery in the street?”, 4) “make a detour, by car or on foot, to avoid unsafe areas?” on a scale of 1 (“(Almost) never”), 2 (“Sometimes”), or 3 (“Often”). We will recode these items so that 0 indicates “(Almost) never”. We then sum the responses within each wave for which participants have data, and calculate an average across the waves.</w:t>
      </w:r>
    </w:p>
    <w:p w14:paraId="623D6A9D" w14:textId="77777777" w:rsidR="002523DC" w:rsidRDefault="00000000">
      <w:pPr>
        <w:pStyle w:val="BodyText"/>
      </w:pPr>
      <w:r>
        <w:t xml:space="preserve">In addition, we implemented the Neighborhood Violence Scale (Frankenhuis et al., 2020; NVS; Frankenhuis &amp; Bijlstra, 2018) in the newly collected data. The NVS includes seven items measuring perceived exposure to neighborhood violence (e.g., “Crime is common in the </w:t>
      </w:r>
      <w:r>
        <w:lastRenderedPageBreak/>
        <w:t>neighborhood where I live”; “Where I live, it is important to be able to defend yourself against physical harm”). Participants answered these questions on a scale of 1 (“Completely disagree”) to 7 (“Completely agree”). We will compute an average of the seven items.</w:t>
      </w:r>
    </w:p>
    <w:p w14:paraId="692FF95A" w14:textId="77777777" w:rsidR="002523DC" w:rsidRDefault="00000000">
      <w:pPr>
        <w:pStyle w:val="BodyText"/>
      </w:pPr>
      <w:r>
        <w:rPr>
          <w:b/>
          <w:bCs/>
        </w:rPr>
        <w:t>Crime victimization.</w:t>
      </w:r>
      <w:r>
        <w:t xml:space="preserve"> We used data from the LISS archive collected across six waves (same dataset as above), in which participants indicated whether they fell victim to eight types of crime over the two years prior to a particular wave (0 = no, 1 = yes). We included seven items concerning exposure to crime: (1) burglary or attempted burglary; (2) theft from their car; (3) theft of their wallet or purse, handbag, or other personal possession; (4) wreckage of their car or other private property; (5) intimidation by any other means; (6) maltreatment of such serious nature that it required medical attention; (7) maltreatment that did not require medical attention. We compute a variety score by summing the exposures to </w:t>
      </w:r>
      <w:r>
        <w:rPr>
          <w:i/>
          <w:iCs/>
        </w:rPr>
        <w:t>unique</w:t>
      </w:r>
      <w:r>
        <w:t xml:space="preserve"> types of crime across all waves. Thus, if a participants reports exposure to the same type of crime on separate waves, this will count as one exposure in the total score (Sweeten, 2012).</w:t>
      </w:r>
    </w:p>
    <w:p w14:paraId="707DD63F" w14:textId="77777777" w:rsidR="002523DC" w:rsidRDefault="00000000">
      <w:pPr>
        <w:pStyle w:val="BodyText"/>
      </w:pPr>
      <w:r>
        <w:rPr>
          <w:b/>
          <w:bCs/>
        </w:rPr>
        <w:t>Neighborhood threat composite.</w:t>
      </w:r>
      <w:r>
        <w:t xml:space="preserve"> We will compute a composite measure of neighborhood threat by aggregating across the perceived neighborhood crime and crime victimization measures exposure. First, we will create a single measure of perceived neighborhood crime by separately standardizing the two scales and averaging them. Second, we will average across perceived neighborhood crime and crime victimization, standardizing each before averaging.</w:t>
      </w:r>
    </w:p>
    <w:p w14:paraId="269125F3" w14:textId="77777777" w:rsidR="002523DC" w:rsidRDefault="00000000">
      <w:pPr>
        <w:pStyle w:val="Heading3"/>
      </w:pPr>
      <w:bookmarkStart w:id="21" w:name="material-deprivation"/>
      <w:bookmarkEnd w:id="20"/>
      <w:r>
        <w:t>Material deprivation</w:t>
      </w:r>
    </w:p>
    <w:p w14:paraId="2969A6E2" w14:textId="77777777" w:rsidR="002523DC" w:rsidRDefault="00000000">
      <w:r>
        <w:rPr>
          <w:b/>
          <w:bCs/>
        </w:rPr>
        <w:t>Perceived scarcity.</w:t>
      </w:r>
      <w:r>
        <w:t xml:space="preserve"> We will use a few items from the LISS archive that were collected on a yearly basis between 2007 and 2023 (</w:t>
      </w:r>
      <w:hyperlink r:id="rId12">
        <w:r>
          <w:rPr>
            <w:rStyle w:val="Hyperlink"/>
          </w:rPr>
          <w:t>https://doi.org/10.57990/1gr4-bf42</w:t>
        </w:r>
      </w:hyperlink>
      <w:r>
        <w:t xml:space="preserve">) to index perceived scarcity. First, participants indicated how hard or easy it currently is to live off the income of </w:t>
      </w:r>
      <w:r>
        <w:lastRenderedPageBreak/>
        <w:t>their household, on a scale from 0 (very hard) to 10 (very easy). Second, participants were asked to choose which of the following best applied to their current situation: (1) “we are accumulating debt”; (2) “we are somewhat eating into savings”; (3) “we are just managing to make ends meet”; (4) “we have a little bit of money to spare”; (5) “we have a lot of money to spare”. Responses will be reverse-coded, so that higher scores indicate a worse financial situation. Third, participants answered which of the following issues they were confronted with at present (0 = no, 1 = yes): (1) “having trouble making ends meet”; (2) unable to quickly replace things that break”; (3) “having to lend money for necessary expenditures”; (4) “running behind in paying rent/mortgage or general utilities”; (5) “debt collector/bailiff at the door in the last month”; (6) “received financial support from family or friends in the last month”. We will sum across these six items, with higher scores indicating more financial difficulties.</w:t>
      </w:r>
    </w:p>
    <w:p w14:paraId="5533EA24" w14:textId="77777777" w:rsidR="002523DC" w:rsidRDefault="00000000">
      <w:pPr>
        <w:pStyle w:val="BodyText"/>
      </w:pPr>
      <w:r>
        <w:rPr>
          <w:b/>
          <w:bCs/>
        </w:rPr>
        <w:t>Income-to-needs.</w:t>
      </w:r>
      <w:r>
        <w:t xml:space="preserve"> We will calculate an income-to-needs ratio for each year using monthly self-reported net household income from the LISS archive (</w:t>
      </w:r>
      <w:hyperlink r:id="rId13">
        <w:r>
          <w:rPr>
            <w:rStyle w:val="Hyperlink"/>
          </w:rPr>
          <w:t>https://doi.org/10.57990/qn3k-as78</w:t>
        </w:r>
      </w:hyperlink>
      <w:r>
        <w:t>). Zero values in household income will be set to missing, as these could either indicate the lack of an income or an unwillingness to disclose the income. If monthly household income is missing (or zero) for an entire year for a participant, we will use, if available, the yearly net household income they reported in the LISS archive (</w:t>
      </w:r>
      <w:hyperlink r:id="rId14">
        <w:r>
          <w:rPr>
            <w:rStyle w:val="Hyperlink"/>
          </w:rPr>
          <w:t>https://doi.org/10.57990/1gr4-bf42</w:t>
        </w:r>
      </w:hyperlink>
      <w:r>
        <w:t xml:space="preserve">), dividing it by 12 to obtain a monthly estimate. First, we average monthly reported income across years for each participant. Then, we divide the average income per year by the </w:t>
      </w:r>
      <w:r>
        <w:rPr>
          <w:i/>
          <w:iCs/>
        </w:rPr>
        <w:t>poverty threshold</w:t>
      </w:r>
      <w:r>
        <w:t xml:space="preserve">, as determined by Statistics Netherlands (CBS) (Brakel et al., 2023; CBS, personal communication, December 15, 2023). The poverty threshold changes across time to account for purchasing power. In addition, different thresholds are determined each year for different household compositions (single vs. two adults; zero, one, two, or three </w:t>
      </w:r>
      <w:r>
        <w:lastRenderedPageBreak/>
        <w:t>children). As thresholds are only provided for households with up to three children, we will apply the threshold of a household with three children to households with more than three children. Likewise, we will apply the threshold of a household with two adults for households that contain three or more adults.</w:t>
      </w:r>
    </w:p>
    <w:p w14:paraId="43AA5034" w14:textId="77777777" w:rsidR="002523DC" w:rsidRDefault="00000000">
      <w:pPr>
        <w:pStyle w:val="BodyText"/>
      </w:pPr>
      <w:r>
        <w:rPr>
          <w:b/>
          <w:bCs/>
        </w:rPr>
        <w:t>Material deprivation composite.</w:t>
      </w:r>
      <w:r>
        <w:t xml:space="preserve"> We will compute a composite measure of material deprivation by aggregating across the perceived scarcity measures and the income-to-needs ratio. We will do so separately for each year. First, we will create a single measure of perceived scarcity by separately standardizing the three measures and averaging them. Second, we will calculate the average within-person income-to-needs ratio for each year by averaging across the monthly income-to-needs estimates. We will reverse code the yearly income-to-needs ratio so that higher scores indicate more deprivation. Third, we will average across perceived scarcity and the income-to-needs ratio for each year, standardizing each before averaging, and then finally calculate the average across all year.</w:t>
      </w:r>
    </w:p>
    <w:p w14:paraId="77D3AEA8" w14:textId="77777777" w:rsidR="002523DC" w:rsidRDefault="00000000">
      <w:pPr>
        <w:pStyle w:val="Heading3"/>
      </w:pPr>
      <w:bookmarkStart w:id="22" w:name="unpredictability"/>
      <w:bookmarkEnd w:id="21"/>
      <w:r>
        <w:t>Unpredictability</w:t>
      </w:r>
    </w:p>
    <w:p w14:paraId="0EE06616" w14:textId="77777777" w:rsidR="002523DC" w:rsidRDefault="00000000">
      <w:r>
        <w:rPr>
          <w:b/>
          <w:bCs/>
        </w:rPr>
        <w:t>Unpredictability composite.</w:t>
      </w:r>
      <w:r>
        <w:t xml:space="preserve"> We will compute a composite measure of unpredictability based on the yearly unweighted averages of perceived scarcity and the income-to-needs ratio (reverse coded), as described above. We will compute unpredictability as the within-person standard deviation in material deprivation across years (Ugarte &amp; Hastings, 2023; Walasek et al., 2023; Young et al., 2020). The mean and standard deviation in income have been found to be strongly negatively correlated, indicating that people with lower incomes tend to experience less variability in income (Li et al., 2018; Young et al., n.d.). For that reason, the standard deviation alone has been called into question as a measure of adversity, as the same fluctuation in income can have a greater relative impact for people close to the poverty line than for people with high </w:t>
      </w:r>
      <w:r>
        <w:lastRenderedPageBreak/>
        <w:t>incomes. We will address this issue by including the covariance between material deprivation (the mean) and unpredictability (the standard deviation) into the SEM model (see below).</w:t>
      </w:r>
    </w:p>
    <w:p w14:paraId="51B901A1" w14:textId="77777777" w:rsidR="002523DC" w:rsidRDefault="00000000">
      <w:pPr>
        <w:pStyle w:val="Heading3"/>
      </w:pPr>
      <w:bookmarkStart w:id="23" w:name="wm-tasks"/>
      <w:bookmarkEnd w:id="22"/>
      <w:r>
        <w:t>WM tasks</w:t>
      </w:r>
    </w:p>
    <w:p w14:paraId="41805AB3" w14:textId="77777777" w:rsidR="002523DC" w:rsidRDefault="00000000">
      <w:r>
        <w:t xml:space="preserve">The WM tasks were all part of the newly collected data. All materials and scripts for the cognitive tasks can be found at </w:t>
      </w:r>
      <w:hyperlink r:id="rId15">
        <w:r>
          <w:rPr>
            <w:rStyle w:val="Hyperlink"/>
          </w:rPr>
          <w:t>https://stefanvermeent.github.io/liss_wm_profiles_2023/materials/README.html</w:t>
        </w:r>
      </w:hyperlink>
      <w:r>
        <w:t>. Prior to collecting LISS data, we conducted a pilot study among in a Dutch sample (</w:t>
      </w:r>
      <w:r>
        <w:rPr>
          <w:i/>
          <w:iCs/>
        </w:rPr>
        <w:t>N</w:t>
      </w:r>
      <w:r>
        <w:t xml:space="preserve"> = 100) through Prolific Academic. The main goals of this pilot study were to collect participant feedback (e.g., difficulty of instructions, whether we included sufficient breaks) and to analyze performance and correlations between tasks. The results of this pilot study are described in more detail in the Supplemental Materials.</w:t>
      </w:r>
    </w:p>
    <w:p w14:paraId="74245D5D" w14:textId="77777777" w:rsidR="002523DC" w:rsidRDefault="00000000">
      <w:pPr>
        <w:pStyle w:val="BodyText"/>
      </w:pPr>
      <w:r>
        <w:rPr>
          <w:b/>
          <w:bCs/>
        </w:rPr>
        <w:t>Operation Span Task.</w:t>
      </w:r>
      <w:r>
        <w:t xml:space="preserve"> The Operation Span Task (Figure 2A) is a common measure of WM capacity (Conway et al., 2005; Wilhelm et al., 2013). In this task, participants alternate between a primary memorization task and a secondary processing task. On each trial, the task is to memorize a sequence of letters in the correct order (from a set of 12 letters). Each letter is presented for 1,000 ms in the center of the screen. Next, participants see a simple mathematical equation including the outcome. Their task is to indicate whether the outcome is correct or incorrect by pressing either the ‘a’ or ‘l’ key on their keyboard. The equations always contain one addition or subtraction, with numbers ranging between one and 10. Outcomes are always positive integers. On each trial, participants have to memorize between four and six letters, with each set size repeated three times. At the end of each sequence, all letters are presented in a 3 x 4 grid, and participants click the letters in the correct order.</w:t>
      </w:r>
    </w:p>
    <w:p w14:paraId="321EBEE8" w14:textId="77777777" w:rsidR="002523DC" w:rsidRDefault="00000000">
      <w:pPr>
        <w:pStyle w:val="BodyText"/>
      </w:pPr>
      <w:r>
        <w:lastRenderedPageBreak/>
        <w:t>Participants first practice the letter task (three times), then the math task (eight times), and then the full task (three times). If they perform at or below chance, they have the opportunity to either repeat a part or advance to the next part. After practicing, participants complete 12 test trials. We will compute an operation span score by calculating the proportion of letters recalled in the correct sequential position across trials (Conway et al., 2005).</w:t>
      </w:r>
    </w:p>
    <w:p w14:paraId="608EA983" w14:textId="77777777" w:rsidR="002523DC" w:rsidRDefault="00000000">
      <w:pPr>
        <w:pStyle w:val="BodyText"/>
      </w:pPr>
      <w:r>
        <w:rPr>
          <w:b/>
          <w:bCs/>
        </w:rPr>
        <w:t>Rotation Span Task.</w:t>
      </w:r>
      <w:r>
        <w:t xml:space="preserve"> The Rotation Span Task (Figure 2B) is similar to the Operation Span Task and is adopted from Wilhelm et al. (2013). On each trial, the task is to memorize the orientation of a sequence of arrows in the correct order. Arrows can take on eight different orientations, with increments of 45</w:t>
      </w:r>
      <m:oMath>
        <m:r>
          <m:rPr>
            <m:sty m:val="p"/>
          </m:rPr>
          <w:rPr>
            <w:rFonts w:ascii="Cambria Math" w:hAnsi="Cambria Math"/>
          </w:rPr>
          <m:t>∘</m:t>
        </m:r>
      </m:oMath>
      <w:r>
        <w:t>. Each arrow is presented for 1,000 ms in the center of the screen. Next, participants see a capital ‘G’ or ‘F’ that is rotated at one of eight different orientations, with increments of 45</w:t>
      </w:r>
      <m:oMath>
        <m:r>
          <m:rPr>
            <m:sty m:val="p"/>
          </m:rPr>
          <w:rPr>
            <w:rFonts w:ascii="Cambria Math" w:hAnsi="Cambria Math"/>
          </w:rPr>
          <m:t>∘</m:t>
        </m:r>
      </m:oMath>
      <w:r>
        <w:t>. Their task is to indicate whether the letter is mirrored or not. On each trial, participants have to memorize between two to five arrows, with each set size repeated three times. At the end of each sequence, all arrows are presented simultaneously, and participants click the arrows in the correct order.</w:t>
      </w:r>
    </w:p>
    <w:p w14:paraId="5C0A019F" w14:textId="77777777" w:rsidR="002523DC" w:rsidRDefault="00000000">
      <w:pPr>
        <w:pStyle w:val="BodyText"/>
      </w:pPr>
      <w:r>
        <w:t>Participants first practice the arrow task (three times), then the letter task (eight times), and then the full task (three times). If they perform at or below chance, they have the opportunity to either repeat a part or to advance to the next part. After practicing, participants complete 12 test trials. We will compute a rotation span score by calculating the proportion of arrows recalled in the correct sequential position across trials [Conway et al. (2005).</w:t>
      </w:r>
    </w:p>
    <w:p w14:paraId="06ED1458" w14:textId="77777777" w:rsidR="002523DC" w:rsidRDefault="00000000">
      <w:pPr>
        <w:pStyle w:val="BodyText"/>
      </w:pPr>
      <w:r>
        <w:rPr>
          <w:b/>
          <w:bCs/>
        </w:rPr>
        <w:t>Binding-Updating Task.</w:t>
      </w:r>
      <w:r>
        <w:t xml:space="preserve"> The Binding-Updating task (Figure 2C) is adopted from [XXX]. On each trial, participants see a 3 x 3 grid, with a fixation cross in the central cell. After 1,000 ms, they are presented with a sequence of numbers (0-9) in random locations of the grid. Each new number is presented for 1,500 ms, after which it disappears for 500 ms before the next </w:t>
      </w:r>
      <w:r>
        <w:lastRenderedPageBreak/>
        <w:t>number is presented. The task is to remember the last number they see in each location. Memory set sizes (i.e., the number of unique locations in the grid) ranges between three and five. On half of the trials, only one number is presented in each location. These constitute the binding trials. On the other half of the trials, some letters are presented in the same location as previous numbers, requiring mentally replacing the old number with the new number. These constitute the updating trials. We use two, three, and four updating steps, each repeated in combination with the different set sizes. At the end of the trials, participants indicate which letter they saw last in each location in random order.</w:t>
      </w:r>
    </w:p>
    <w:p w14:paraId="503236CE" w14:textId="77777777" w:rsidR="002523DC" w:rsidRDefault="00000000">
      <w:pPr>
        <w:pStyle w:val="BodyText"/>
      </w:pPr>
      <w:r>
        <w:t>Participants first complete four practice trials. If they perform at or below chance, they have the opportunity to either repeat the practice trials or to advance to the actual task. After practicing, they complete 18 test trials. We will compute a binding score by calculating the overall recall accuracy (%) across trials with zero updating steps. We will compute an updating score by calculating the overall recall accuracy (%) of updated letters (disregarding non-updated letters) across trials containing updating steps.</w:t>
      </w:r>
    </w:p>
    <w:tbl>
      <w:tblPr>
        <w:tblW w:w="5000" w:type="pct"/>
        <w:tblLook w:val="0000" w:firstRow="0" w:lastRow="0" w:firstColumn="0" w:lastColumn="0" w:noHBand="0" w:noVBand="0"/>
      </w:tblPr>
      <w:tblGrid>
        <w:gridCol w:w="9360"/>
      </w:tblGrid>
      <w:tr w:rsidR="002523DC" w14:paraId="150B4A66" w14:textId="77777777">
        <w:tc>
          <w:tcPr>
            <w:tcW w:w="0" w:type="auto"/>
          </w:tcPr>
          <w:p w14:paraId="316D5793" w14:textId="77777777" w:rsidR="002523DC" w:rsidRDefault="00000000">
            <w:pPr>
              <w:pStyle w:val="Figure"/>
              <w:jc w:val="center"/>
            </w:pPr>
            <w:r>
              <w:rPr>
                <w:noProof/>
              </w:rPr>
              <w:lastRenderedPageBreak/>
              <w:drawing>
                <wp:inline distT="0" distB="0" distL="0" distR="0" wp14:anchorId="55B34EAC" wp14:editId="5ADE12F2">
                  <wp:extent cx="5486400" cy="4473526"/>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g/fig2.png"/>
                          <pic:cNvPicPr>
                            <a:picLocks noChangeAspect="1" noChangeArrowheads="1"/>
                          </pic:cNvPicPr>
                        </pic:nvPicPr>
                        <pic:blipFill>
                          <a:blip r:embed="rId16"/>
                          <a:stretch>
                            <a:fillRect/>
                          </a:stretch>
                        </pic:blipFill>
                        <pic:spPr bwMode="auto">
                          <a:xfrm>
                            <a:off x="0" y="0"/>
                            <a:ext cx="5486400" cy="4473526"/>
                          </a:xfrm>
                          <a:prstGeom prst="rect">
                            <a:avLst/>
                          </a:prstGeom>
                          <a:noFill/>
                          <a:ln w="9525">
                            <a:noFill/>
                            <a:headEnd/>
                            <a:tailEnd/>
                          </a:ln>
                        </pic:spPr>
                      </pic:pic>
                    </a:graphicData>
                  </a:graphic>
                </wp:inline>
              </w:drawing>
            </w:r>
          </w:p>
          <w:p w14:paraId="4AC57AF8" w14:textId="77777777" w:rsidR="002523DC" w:rsidRDefault="00000000">
            <w:pPr>
              <w:pStyle w:val="ImageCaption"/>
              <w:spacing w:before="200"/>
            </w:pPr>
            <w:r>
              <w:rPr>
                <w:b/>
                <w:bCs/>
              </w:rPr>
              <w:t>Figure 2.</w:t>
            </w:r>
            <w:r>
              <w:t xml:space="preserve"> Overview of the working memory tasks. Panel A: Operation Span Task. Participants had to memorize letters in the correct order, while engaging in a secondary math task. Panel B: Rotation Span Task. Participants had to memorize the orientation of arrows, while judging whether letters were mirrored or normal in a secondary task. Panel C: Participants had to memorize numbers in the correct location in a 3x3 grid. On half of the trials, all numbers were presented in unique locations, only requiring binding the numbers to the correct position. On the other half, some numbers were presented in the same location as a previously presented number, requiring updating. Note that stimuli are not to scale.</w:t>
            </w:r>
          </w:p>
        </w:tc>
      </w:tr>
    </w:tbl>
    <w:p w14:paraId="6D31D769" w14:textId="77777777" w:rsidR="002523DC" w:rsidRDefault="00000000">
      <w:pPr>
        <w:pStyle w:val="Heading2"/>
      </w:pPr>
      <w:bookmarkStart w:id="24" w:name="procedure"/>
      <w:bookmarkEnd w:id="19"/>
      <w:bookmarkEnd w:id="23"/>
      <w:r>
        <w:t>Procedure</w:t>
      </w:r>
    </w:p>
    <w:p w14:paraId="2C21C55E" w14:textId="77777777" w:rsidR="002523DC" w:rsidRDefault="00000000">
      <w:r>
        <w:t xml:space="preserve">We received ethical approval from the first author’s institutional ethical board. Upon starting the study, participants were informed that the study could only be completed on a laptop or desktop PC. If they attempted to start the study on a tablet or smartphone, they were unable to advance and prompted to switch to a suitable device. Participants started with the WM tasks, which on average took between 20 and 25 minutes. The WM tasks were completed in fullscreen </w:t>
      </w:r>
      <w:r>
        <w:lastRenderedPageBreak/>
        <w:t>mode. If participants left fullscreen mode at any moment during the tasks, they saw instructions at the top of their screen that allowed them to return to fullscreen mode. The order of the WM tasks was counterbalanced, and participants had the opportunity to take breaks at regular intervals.</w:t>
      </w:r>
    </w:p>
    <w:p w14:paraId="269D621E" w14:textId="77777777" w:rsidR="002523DC" w:rsidRDefault="00000000">
      <w:pPr>
        <w:pStyle w:val="BodyText"/>
      </w:pPr>
      <w:r>
        <w:t>After the cognitive tasks, participants answered three questions about the environment in which they completed the WM tasks: 1) “How much noise was there in your environment during the memory tasks?”; 2) “Were you at any moment interrupted during the memory tasks?”; 3) “Did you at any moment during the memory tasks leave the computer?”. Next, they completed questionnaires about their future orientation (not considered here), personality (not considered here), past adversity exposure, and recent adversity exposure. Finally, they completed a standard set of evaluation questions asking about their experiences with the study, with the possibility to provide open-ended feedback. This part on average took 5 minutes. Participants received €7.50 for their participation through LISS. If participants experienced difficulties of any sort, they could contact the LISS helpdesk.</w:t>
      </w:r>
    </w:p>
    <w:p w14:paraId="7EC9F0DC" w14:textId="77777777" w:rsidR="002523DC" w:rsidRDefault="00000000">
      <w:pPr>
        <w:pStyle w:val="Heading2"/>
      </w:pPr>
      <w:bookmarkStart w:id="25" w:name="proposed-analysis-plan"/>
      <w:bookmarkEnd w:id="24"/>
      <w:r>
        <w:t>Proposed analysis plan</w:t>
      </w:r>
    </w:p>
    <w:p w14:paraId="242A3191" w14:textId="77777777" w:rsidR="002523DC" w:rsidRDefault="00000000">
      <w:pPr>
        <w:pStyle w:val="Heading3"/>
      </w:pPr>
      <w:bookmarkStart w:id="26" w:name="data-access"/>
      <w:r>
        <w:t>Data access</w:t>
      </w:r>
    </w:p>
    <w:p w14:paraId="01BC5515" w14:textId="77777777" w:rsidR="002523DC" w:rsidRDefault="00000000">
      <w:r>
        <w:t xml:space="preserve">The working memory data and one of the neighborhood threat indices were collected through October-December 2023, prior to submitting the Stage 1 protocol. These data will only be made available to the first author after Stage 1 acceptance, as stipulated in a signed contract with LISS. During planning of the study, the first author accessed to the LISS data archive and inspected three waves of the LISS data containing the items about neighborhood safety and crime exposure, as well as the three most recent monthly data collections containing basic demographic info. The purpose was to ascertain the number of individuals who had finished the </w:t>
      </w:r>
      <w:r>
        <w:lastRenderedPageBreak/>
        <w:t xml:space="preserve">previous waves a few years ago and were presently still participating in the panel (i.e., to see if we could reasonably create a link between these previous waves and newly collected data). All data access events were automatically detected and logged on the GitHub repository using the </w:t>
      </w:r>
      <w:r>
        <w:rPr>
          <w:i/>
          <w:iCs/>
        </w:rPr>
        <w:t>projectlog</w:t>
      </w:r>
      <w:r>
        <w:t xml:space="preserve"> R package (Vermeent, 2023). We took the following measures to prevent bias: 1) we randomly shuffled the participant IDs in each data set using the </w:t>
      </w:r>
      <w:r>
        <w:rPr>
          <w:i/>
          <w:iCs/>
        </w:rPr>
        <w:t>projectlog</w:t>
      </w:r>
      <w:r>
        <w:t xml:space="preserve"> R package, so that we were unable to link participant data between (waves of) studies; 2) we did not inspect any of the measures that will be part of our adversity composites; 3) we did not know which participants would be selected for the new LISS study; 4) the primary analyses will be based on composite measures that combine measures from these previous studies with data that were collected at a later timepoint.</w:t>
      </w:r>
    </w:p>
    <w:p w14:paraId="3118AC18" w14:textId="77777777" w:rsidR="002523DC" w:rsidRDefault="00000000">
      <w:pPr>
        <w:pStyle w:val="Heading3"/>
      </w:pPr>
      <w:bookmarkStart w:id="27" w:name="primary-analyses"/>
      <w:bookmarkEnd w:id="26"/>
      <w:r>
        <w:t>Primary analyses</w:t>
      </w:r>
    </w:p>
    <w:p w14:paraId="1A8EE7AB" w14:textId="77777777" w:rsidR="002523DC" w:rsidRDefault="00000000">
      <w:r>
        <w:t xml:space="preserve">See Figure 1B for an overview of the model specification. We will fit a single model containing all adversity measures using the </w:t>
      </w:r>
      <w:r>
        <w:rPr>
          <w:i/>
          <w:iCs/>
        </w:rPr>
        <w:t>lavaan</w:t>
      </w:r>
      <w:r>
        <w:t xml:space="preserve"> R package (Rosseel, 2012). We will use robust maximum likelihood estimation in case any variable is non-normally distributed. Missing data will be handled using full information maximum likelihood (FIML). If participants are from the same household, this clustering within families will be accounted for using the </w:t>
      </w:r>
      <w:r>
        <w:rPr>
          <w:i/>
          <w:iCs/>
        </w:rPr>
        <w:t>lavaan.survey</w:t>
      </w:r>
      <w:r>
        <w:t xml:space="preserve"> R package (Oberski, 2014).</w:t>
      </w:r>
    </w:p>
    <w:p w14:paraId="775A5885" w14:textId="77777777" w:rsidR="002523DC" w:rsidRDefault="00000000">
      <w:pPr>
        <w:pStyle w:val="BodyText"/>
      </w:pPr>
      <w:r>
        <w:t xml:space="preserve">WM capacity will be estimated as a latent factor loading on all outcome measures. In addition, we will estimate WM updating as a latent factor capturing residual variance in the updating measure. Thus, this factor accounts for updating-specific variance after accounting for WM capacity. We will estimate the effect of each adversity type (dashed lines in Figure 1B) through regression analyses. Each association will be controlled for: (1) age in years ; (2) the quadratic effect of age; (2) environmental noise (“How noisy was your environment during the </w:t>
      </w:r>
      <w:r>
        <w:lastRenderedPageBreak/>
        <w:t>memory tasks”, rated on a scale of 1 (very little noise) to 5 (a lot of noise)); (3) two items measuring interruptions (“Where you at any moment interrupted during the memory tasks?” and “Did you at any moment during the memory tasks leave your computer?”, rated as yes or no). Goodness of fit will be assessed using the comparative fit index (CFI) and the root mean square error of approximation (RMSEA). CFI values &gt; .90 and RMSEA values &lt; .08 will be interpreted as acceptable model fit, and CFI values &gt; .95 and RMSEA values ≤ .06 as good model fit (Hu &amp; Bentler, 1999).</w:t>
      </w:r>
    </w:p>
    <w:p w14:paraId="6002D881" w14:textId="77777777" w:rsidR="002523DC" w:rsidRDefault="00000000">
      <w:pPr>
        <w:pStyle w:val="BodyText"/>
      </w:pPr>
      <w:r>
        <w:t>We anticipate that we may have to optimize the model further in case of bad model fit, and will therefore estimate the model in two steps to prevent bias. First, we will construct the measurement model of WM, without including the adversity measures. This step will be carried out prior to accessing any of the adversity measures. Once we obtain at least acceptable model fit, we will access and add the adversity measures to the model. This procedure will be tracked and timestamped on the GitHub repository using the procedure outlined above. We will control for multiple testing using the false discovery rate (Benjamini &amp; Hochberg, 1995; Cribbie, 2007). We will use two one-sided tests (TOST) equivalence testing to test whether small effects—which we define as standardized effects between -.10 and .10—are practically equivalent, which we will interpret as evidence for intact performance.</w:t>
      </w:r>
    </w:p>
    <w:p w14:paraId="6838C62C" w14:textId="77777777" w:rsidR="002523DC" w:rsidRDefault="00000000">
      <w:r>
        <w:br w:type="page"/>
      </w:r>
    </w:p>
    <w:p w14:paraId="651762BE" w14:textId="77777777" w:rsidR="002523DC" w:rsidRDefault="00000000">
      <w:pPr>
        <w:pStyle w:val="Heading1"/>
      </w:pPr>
      <w:bookmarkStart w:id="28" w:name="references"/>
      <w:bookmarkEnd w:id="17"/>
      <w:bookmarkEnd w:id="25"/>
      <w:bookmarkEnd w:id="27"/>
      <w:r>
        <w:lastRenderedPageBreak/>
        <w:t>References</w:t>
      </w:r>
    </w:p>
    <w:p w14:paraId="4D340E48" w14:textId="77777777" w:rsidR="002523DC" w:rsidRDefault="00000000">
      <w:pPr>
        <w:pStyle w:val="Bibliography"/>
      </w:pPr>
      <w:bookmarkStart w:id="29" w:name="ref-ahmed_2018"/>
      <w:bookmarkStart w:id="30" w:name="refs"/>
      <w:r>
        <w:t xml:space="preserve">Ahmed, S., Tang, S., Waters, N., &amp; Davis-Kean, P. (2018). Executive function and academic achievement: Longitudinal relations from early childhood to adolescence. </w:t>
      </w:r>
      <w:r>
        <w:rPr>
          <w:i/>
          <w:iCs/>
        </w:rPr>
        <w:t>Journal of Educational Psychology</w:t>
      </w:r>
      <w:r>
        <w:t xml:space="preserve">, </w:t>
      </w:r>
      <w:r>
        <w:rPr>
          <w:i/>
          <w:iCs/>
        </w:rPr>
        <w:t>111</w:t>
      </w:r>
      <w:r>
        <w:t xml:space="preserve">. </w:t>
      </w:r>
      <w:hyperlink r:id="rId17">
        <w:r>
          <w:rPr>
            <w:rStyle w:val="Hyperlink"/>
          </w:rPr>
          <w:t>https://doi.org/10.1037/edu0000296</w:t>
        </w:r>
      </w:hyperlink>
    </w:p>
    <w:p w14:paraId="6114B247" w14:textId="77777777" w:rsidR="002523DC" w:rsidRDefault="00000000">
      <w:pPr>
        <w:pStyle w:val="Bibliography"/>
      </w:pPr>
      <w:bookmarkStart w:id="31" w:name="ref-alloway_2010"/>
      <w:bookmarkEnd w:id="29"/>
      <w:r>
        <w:t xml:space="preserve">Alloway, T. P., &amp; Alloway, R. G. (2010). Investigating the predictive roles of working memory and IQ in academic attainment. </w:t>
      </w:r>
      <w:r>
        <w:rPr>
          <w:i/>
          <w:iCs/>
        </w:rPr>
        <w:t>Journal of Experimental Child Psychology</w:t>
      </w:r>
      <w:r>
        <w:t xml:space="preserve">, </w:t>
      </w:r>
      <w:r>
        <w:rPr>
          <w:i/>
          <w:iCs/>
        </w:rPr>
        <w:t>106</w:t>
      </w:r>
      <w:r>
        <w:t xml:space="preserve">(1), 20–29. </w:t>
      </w:r>
      <w:hyperlink r:id="rId18">
        <w:r>
          <w:rPr>
            <w:rStyle w:val="Hyperlink"/>
          </w:rPr>
          <w:t>https://doi.org/10.1016/j.jecp.2009.11.003</w:t>
        </w:r>
      </w:hyperlink>
    </w:p>
    <w:p w14:paraId="72082AA0" w14:textId="77777777" w:rsidR="002523DC" w:rsidRDefault="00000000">
      <w:pPr>
        <w:pStyle w:val="Bibliography"/>
      </w:pPr>
      <w:bookmarkStart w:id="32" w:name="ref-benjamini_1995"/>
      <w:bookmarkEnd w:id="31"/>
      <w:r>
        <w:t xml:space="preserve">Benjamini, Y., &amp; Hochberg, Y. (1995). Controlling the false discovery rate: A practical and powerful approach to multiple testing. </w:t>
      </w:r>
      <w:r>
        <w:rPr>
          <w:i/>
          <w:iCs/>
        </w:rPr>
        <w:t>Journal of the Royal Statistical Society: Series B (Methodological)</w:t>
      </w:r>
      <w:r>
        <w:t xml:space="preserve">, </w:t>
      </w:r>
      <w:r>
        <w:rPr>
          <w:i/>
          <w:iCs/>
        </w:rPr>
        <w:t>57</w:t>
      </w:r>
      <w:r>
        <w:t xml:space="preserve">(1), 289–300. </w:t>
      </w:r>
      <w:hyperlink r:id="rId19">
        <w:r>
          <w:rPr>
            <w:rStyle w:val="Hyperlink"/>
          </w:rPr>
          <w:t>https://doi.org/10.1111/j.2517-6161.1995.tb02031.x</w:t>
        </w:r>
      </w:hyperlink>
    </w:p>
    <w:p w14:paraId="3E583E5A" w14:textId="77777777" w:rsidR="002523DC" w:rsidRPr="00DF5653" w:rsidRDefault="00000000">
      <w:pPr>
        <w:pStyle w:val="Bibliography"/>
        <w:rPr>
          <w:lang w:val="nl-NL"/>
        </w:rPr>
      </w:pPr>
      <w:bookmarkStart w:id="33" w:name="ref-bos_2009"/>
      <w:bookmarkEnd w:id="32"/>
      <w:r>
        <w:t xml:space="preserve">Bos, K. J., Fox, N., Zeanah, C. H., &amp; Nelson III, C. A. (2009). Effects of early psychosocial deprivation on the development of memory and executive function. </w:t>
      </w:r>
      <w:r w:rsidRPr="00DF5653">
        <w:rPr>
          <w:i/>
          <w:iCs/>
          <w:lang w:val="nl-NL"/>
        </w:rPr>
        <w:t>Frontiers in Behavioral Neuroscience</w:t>
      </w:r>
      <w:r w:rsidRPr="00DF5653">
        <w:rPr>
          <w:lang w:val="nl-NL"/>
        </w:rPr>
        <w:t xml:space="preserve">, </w:t>
      </w:r>
      <w:r w:rsidRPr="00DF5653">
        <w:rPr>
          <w:i/>
          <w:iCs/>
          <w:lang w:val="nl-NL"/>
        </w:rPr>
        <w:t>3</w:t>
      </w:r>
      <w:r w:rsidRPr="00DF5653">
        <w:rPr>
          <w:lang w:val="nl-NL"/>
        </w:rPr>
        <w:t xml:space="preserve">, 16. </w:t>
      </w:r>
      <w:hyperlink r:id="rId20">
        <w:r w:rsidRPr="00DF5653">
          <w:rPr>
            <w:rStyle w:val="Hyperlink"/>
            <w:lang w:val="nl-NL"/>
          </w:rPr>
          <w:t>https://doi.org/10.3389/neuro.08.016.2009</w:t>
        </w:r>
      </w:hyperlink>
    </w:p>
    <w:p w14:paraId="5A5CD0D8" w14:textId="77777777" w:rsidR="002523DC" w:rsidRDefault="00000000">
      <w:pPr>
        <w:pStyle w:val="Bibliography"/>
      </w:pPr>
      <w:bookmarkStart w:id="34" w:name="ref-brakel_2023"/>
      <w:bookmarkEnd w:id="33"/>
      <w:r w:rsidRPr="00DF5653">
        <w:rPr>
          <w:lang w:val="nl-NL"/>
        </w:rPr>
        <w:t xml:space="preserve">Brakel, M. van den, Lok, R., Otten, F., Vandewal, E., Bos, J., Warnaar, M., Wieman, G., Goderis, B., Hoff, S., Muns, S., &amp; Tunderman, S. (2023). </w:t>
      </w:r>
      <w:r w:rsidRPr="00DF5653">
        <w:rPr>
          <w:i/>
          <w:iCs/>
          <w:lang w:val="nl-NL"/>
        </w:rPr>
        <w:t>Op weg naar een nieuwe armoedegrens. Tussenrapport van het gezamenlijke project ’Uniformering armoedeafbakening’.</w:t>
      </w:r>
      <w:r w:rsidRPr="00DF5653">
        <w:rPr>
          <w:lang w:val="nl-NL"/>
        </w:rPr>
        <w:t xml:space="preserve"> </w:t>
      </w:r>
      <w:hyperlink r:id="rId21">
        <w:r>
          <w:rPr>
            <w:rStyle w:val="Hyperlink"/>
          </w:rPr>
          <w:t>https://www.scp.nl/publicaties/publicaties/2023/06/30/op-weg-naar-een-nieuwe-armoedegrens</w:t>
        </w:r>
      </w:hyperlink>
    </w:p>
    <w:p w14:paraId="35C4D99E" w14:textId="77777777" w:rsidR="002523DC" w:rsidRDefault="00000000">
      <w:pPr>
        <w:pStyle w:val="Bibliography"/>
      </w:pPr>
      <w:bookmarkStart w:id="35" w:name="ref-chiappe_2000"/>
      <w:bookmarkEnd w:id="34"/>
      <w:r>
        <w:t xml:space="preserve">Chiappe, P., Hasher, L., &amp; Siegel, L. S. (2000). Working memory, inhibitory control, and reading disability. </w:t>
      </w:r>
      <w:r>
        <w:rPr>
          <w:i/>
          <w:iCs/>
        </w:rPr>
        <w:t>Memory &amp; Cognition</w:t>
      </w:r>
      <w:r>
        <w:t xml:space="preserve">, </w:t>
      </w:r>
      <w:r>
        <w:rPr>
          <w:i/>
          <w:iCs/>
        </w:rPr>
        <w:t>28</w:t>
      </w:r>
      <w:r>
        <w:t xml:space="preserve">(1), 8–17. </w:t>
      </w:r>
      <w:hyperlink r:id="rId22">
        <w:r>
          <w:rPr>
            <w:rStyle w:val="Hyperlink"/>
          </w:rPr>
          <w:t>https://doi.org/10.3758/BF03211570</w:t>
        </w:r>
      </w:hyperlink>
    </w:p>
    <w:p w14:paraId="5BDD527F" w14:textId="77777777" w:rsidR="002523DC" w:rsidRDefault="00000000">
      <w:pPr>
        <w:pStyle w:val="Bibliography"/>
      </w:pPr>
      <w:bookmarkStart w:id="36" w:name="ref-conway_2005"/>
      <w:bookmarkEnd w:id="35"/>
      <w:r>
        <w:t xml:space="preserve">Conway, A. R. A., Kane, M. J., Bunting, M. F., Hambrick, D. Z., Wilhelm, O., &amp; Engle, R. W. (2005). Working memory span tasks: A methodological review and user’s guide. </w:t>
      </w:r>
      <w:r>
        <w:rPr>
          <w:i/>
          <w:iCs/>
        </w:rPr>
        <w:lastRenderedPageBreak/>
        <w:t>Psychonomic Bulletin &amp; Review</w:t>
      </w:r>
      <w:r>
        <w:t xml:space="preserve">, </w:t>
      </w:r>
      <w:r>
        <w:rPr>
          <w:i/>
          <w:iCs/>
        </w:rPr>
        <w:t>12</w:t>
      </w:r>
      <w:r>
        <w:t>(5), 769–786. https://doi.org/</w:t>
      </w:r>
      <w:hyperlink r:id="rId23">
        <w:r>
          <w:rPr>
            <w:rStyle w:val="Hyperlink"/>
          </w:rPr>
          <w:t>https://doi.org/10.3758/BF03196772</w:t>
        </w:r>
      </w:hyperlink>
    </w:p>
    <w:p w14:paraId="54B2B2A5" w14:textId="77777777" w:rsidR="002523DC" w:rsidRDefault="00000000">
      <w:pPr>
        <w:pStyle w:val="Bibliography"/>
      </w:pPr>
      <w:bookmarkStart w:id="37" w:name="ref-conway_2003"/>
      <w:bookmarkEnd w:id="36"/>
      <w:r>
        <w:t xml:space="preserve">Conway, A. R. A., Kane, M. J., &amp; Engle, R. W. (2003). Working memory capacity and its relation to general intelligence. </w:t>
      </w:r>
      <w:r>
        <w:rPr>
          <w:i/>
          <w:iCs/>
        </w:rPr>
        <w:t>Trends in Cognitive Sciences</w:t>
      </w:r>
      <w:r>
        <w:t xml:space="preserve">, </w:t>
      </w:r>
      <w:r>
        <w:rPr>
          <w:i/>
          <w:iCs/>
        </w:rPr>
        <w:t>7</w:t>
      </w:r>
      <w:r>
        <w:t xml:space="preserve">(12), 547–552. </w:t>
      </w:r>
      <w:hyperlink r:id="rId24">
        <w:r>
          <w:rPr>
            <w:rStyle w:val="Hyperlink"/>
          </w:rPr>
          <w:t>https://doi.org/10.1016/j.tics.2003.10.005</w:t>
        </w:r>
      </w:hyperlink>
    </w:p>
    <w:p w14:paraId="667C3BFB" w14:textId="77777777" w:rsidR="002523DC" w:rsidRDefault="00000000">
      <w:pPr>
        <w:pStyle w:val="Bibliography"/>
      </w:pPr>
      <w:bookmarkStart w:id="38" w:name="ref-cowan_2014"/>
      <w:bookmarkEnd w:id="37"/>
      <w:r>
        <w:t xml:space="preserve">Cowan, N. (2014). Working memory underpins cognitive development, learning, and education. </w:t>
      </w:r>
      <w:r>
        <w:rPr>
          <w:i/>
          <w:iCs/>
        </w:rPr>
        <w:t>Educational Psychology Review</w:t>
      </w:r>
      <w:r>
        <w:t xml:space="preserve">, </w:t>
      </w:r>
      <w:r>
        <w:rPr>
          <w:i/>
          <w:iCs/>
        </w:rPr>
        <w:t>26</w:t>
      </w:r>
      <w:r>
        <w:t xml:space="preserve">(2), 197–223. </w:t>
      </w:r>
      <w:hyperlink r:id="rId25">
        <w:r>
          <w:rPr>
            <w:rStyle w:val="Hyperlink"/>
          </w:rPr>
          <w:t>https://doi.org/10.1007/s10648-013-9246-y</w:t>
        </w:r>
      </w:hyperlink>
    </w:p>
    <w:p w14:paraId="4715F66F" w14:textId="77777777" w:rsidR="002523DC" w:rsidRDefault="00000000">
      <w:pPr>
        <w:pStyle w:val="Bibliography"/>
      </w:pPr>
      <w:bookmarkStart w:id="39" w:name="ref-cribbie_2007"/>
      <w:bookmarkEnd w:id="38"/>
      <w:r>
        <w:t xml:space="preserve">Cribbie, R. A. (2007). Multiplicity control in structural equation modeling. </w:t>
      </w:r>
      <w:r>
        <w:rPr>
          <w:i/>
          <w:iCs/>
        </w:rPr>
        <w:t>Structural Equation Modeling: A Multidisciplinary Journal</w:t>
      </w:r>
      <w:r>
        <w:t xml:space="preserve">, </w:t>
      </w:r>
      <w:r>
        <w:rPr>
          <w:i/>
          <w:iCs/>
        </w:rPr>
        <w:t>14</w:t>
      </w:r>
      <w:r>
        <w:t xml:space="preserve">(1), 98–112. </w:t>
      </w:r>
      <w:hyperlink r:id="rId26">
        <w:r>
          <w:rPr>
            <w:rStyle w:val="Hyperlink"/>
          </w:rPr>
          <w:t>https://doi.org/10.1080/10705510709336738</w:t>
        </w:r>
      </w:hyperlink>
    </w:p>
    <w:p w14:paraId="309BC988" w14:textId="77777777" w:rsidR="002523DC" w:rsidRDefault="00000000">
      <w:pPr>
        <w:pStyle w:val="Bibliography"/>
      </w:pPr>
      <w:bookmarkStart w:id="40" w:name="ref-duval_2017"/>
      <w:bookmarkEnd w:id="39"/>
      <w:r>
        <w:t xml:space="preserve">Duval, E. R., Garfinkel, S. N., Swain, J. E., Evans, G. W., Blackburn, E. K., Angstadt, M., Sripada, C. S., &amp; Liberzon, I. (2017). Childhood poverty is associated with altered hippocampal function and visuospatial memory in adulthood. </w:t>
      </w:r>
      <w:r>
        <w:rPr>
          <w:i/>
          <w:iCs/>
        </w:rPr>
        <w:t>Developmental Cognitive Neuroscience</w:t>
      </w:r>
      <w:r>
        <w:t xml:space="preserve">, </w:t>
      </w:r>
      <w:r>
        <w:rPr>
          <w:i/>
          <w:iCs/>
        </w:rPr>
        <w:t>23</w:t>
      </w:r>
      <w:r>
        <w:t xml:space="preserve">, 39–44. </w:t>
      </w:r>
      <w:hyperlink r:id="rId27">
        <w:r>
          <w:rPr>
            <w:rStyle w:val="Hyperlink"/>
          </w:rPr>
          <w:t>https://doi.org/10.1016/j.dcn.2016.11.006</w:t>
        </w:r>
      </w:hyperlink>
    </w:p>
    <w:p w14:paraId="638F2BA3" w14:textId="77777777" w:rsidR="002523DC" w:rsidRDefault="00000000">
      <w:pPr>
        <w:pStyle w:val="Bibliography"/>
      </w:pPr>
      <w:bookmarkStart w:id="41" w:name="ref-ecker_2010"/>
      <w:bookmarkEnd w:id="40"/>
      <w:r>
        <w:t xml:space="preserve">Ecker, U. K. H., Lewandowsky, S., Oberauer, K., &amp; Chee, A. E. H. (2010). The components of working memory updating: An experimental decomposition and individual differences. </w:t>
      </w:r>
      <w:r>
        <w:rPr>
          <w:i/>
          <w:iCs/>
        </w:rPr>
        <w:t>Journal of Experimental Psychology: Learning, Memory, and Cognition</w:t>
      </w:r>
      <w:r>
        <w:t xml:space="preserve">, </w:t>
      </w:r>
      <w:r>
        <w:rPr>
          <w:i/>
          <w:iCs/>
        </w:rPr>
        <w:t>36</w:t>
      </w:r>
      <w:r>
        <w:t xml:space="preserve">(1), 170–189. </w:t>
      </w:r>
      <w:hyperlink r:id="rId28">
        <w:r>
          <w:rPr>
            <w:rStyle w:val="Hyperlink"/>
          </w:rPr>
          <w:t>https://doi.org/10.1037/a0017891</w:t>
        </w:r>
      </w:hyperlink>
    </w:p>
    <w:p w14:paraId="068A0621" w14:textId="77777777" w:rsidR="002523DC" w:rsidRDefault="00000000">
      <w:pPr>
        <w:pStyle w:val="Bibliography"/>
      </w:pPr>
      <w:bookmarkStart w:id="42" w:name="ref-ellis_2017"/>
      <w:bookmarkEnd w:id="41"/>
      <w:r>
        <w:t xml:space="preserve">Ellis, B. J., Bianchi, J., Griskevicius, V., &amp; Frankenhuis, W. E. (2017). Beyond risk and protective factors: An adaptation-based approach to resilience. </w:t>
      </w:r>
      <w:r>
        <w:rPr>
          <w:i/>
          <w:iCs/>
        </w:rPr>
        <w:t>Perspectives on Psychological Science</w:t>
      </w:r>
      <w:r>
        <w:t xml:space="preserve">, </w:t>
      </w:r>
      <w:r>
        <w:rPr>
          <w:i/>
          <w:iCs/>
        </w:rPr>
        <w:t>12</w:t>
      </w:r>
      <w:r>
        <w:t xml:space="preserve">(4), 561–587. </w:t>
      </w:r>
      <w:hyperlink r:id="rId29">
        <w:r>
          <w:rPr>
            <w:rStyle w:val="Hyperlink"/>
          </w:rPr>
          <w:t>https://doi.org/10.1177/1745691617693054</w:t>
        </w:r>
      </w:hyperlink>
    </w:p>
    <w:p w14:paraId="7819C167" w14:textId="77777777" w:rsidR="002523DC" w:rsidRDefault="00000000">
      <w:pPr>
        <w:pStyle w:val="Bibliography"/>
      </w:pPr>
      <w:bookmarkStart w:id="43" w:name="ref-ellis_2009"/>
      <w:bookmarkEnd w:id="42"/>
      <w:r>
        <w:lastRenderedPageBreak/>
        <w:t xml:space="preserve">Ellis, B. J., Figueredo, A. J., Brumbach, B. H., &amp; Schlomer, G. L. (2009). Fundamental dimensions of environmental risk: The impact of harsh versus unpredictable environments on the evolution and development of life history strategies. </w:t>
      </w:r>
      <w:r>
        <w:rPr>
          <w:i/>
          <w:iCs/>
        </w:rPr>
        <w:t>Human Nature</w:t>
      </w:r>
      <w:r>
        <w:t xml:space="preserve">, </w:t>
      </w:r>
      <w:r>
        <w:rPr>
          <w:i/>
          <w:iCs/>
        </w:rPr>
        <w:t>20</w:t>
      </w:r>
      <w:r>
        <w:t>(2), 204–268. https://doi.org/</w:t>
      </w:r>
      <w:hyperlink r:id="rId30">
        <w:r>
          <w:rPr>
            <w:rStyle w:val="Hyperlink"/>
          </w:rPr>
          <w:t>https://doi.org/10.1007/s12110-009-9063-7</w:t>
        </w:r>
      </w:hyperlink>
    </w:p>
    <w:p w14:paraId="0F1D8D13" w14:textId="77777777" w:rsidR="002523DC" w:rsidRDefault="00000000">
      <w:pPr>
        <w:pStyle w:val="Bibliography"/>
      </w:pPr>
      <w:bookmarkStart w:id="44" w:name="ref-ellis_2022"/>
      <w:bookmarkEnd w:id="43"/>
      <w:r>
        <w:t xml:space="preserve">Ellis, B. J., Sheridan, M. A., Belsky, J., &amp; McLaughlin, K. A. (2022). Why and how does early adversity influence development? Toward an integrated model of dimensions of environmental experience. </w:t>
      </w:r>
      <w:r>
        <w:rPr>
          <w:i/>
          <w:iCs/>
        </w:rPr>
        <w:t>Development and Psychopathology</w:t>
      </w:r>
      <w:r>
        <w:t xml:space="preserve">, </w:t>
      </w:r>
      <w:r>
        <w:rPr>
          <w:i/>
          <w:iCs/>
        </w:rPr>
        <w:t>34</w:t>
      </w:r>
      <w:r>
        <w:t xml:space="preserve">(2), 447–471. </w:t>
      </w:r>
      <w:hyperlink r:id="rId31">
        <w:r>
          <w:rPr>
            <w:rStyle w:val="Hyperlink"/>
          </w:rPr>
          <w:t>https://doi.org/10.1017/S0954579421001838</w:t>
        </w:r>
      </w:hyperlink>
    </w:p>
    <w:p w14:paraId="7BB9C0BB" w14:textId="77777777" w:rsidR="002523DC" w:rsidRDefault="00000000">
      <w:pPr>
        <w:pStyle w:val="Bibliography"/>
      </w:pPr>
      <w:bookmarkStart w:id="45" w:name="ref-evans_2009"/>
      <w:bookmarkEnd w:id="44"/>
      <w:r>
        <w:t xml:space="preserve">Evans, G. W., &amp; Schamberg, M. A. (2009). Childhood poverty, chronic stress, and adult working memory. </w:t>
      </w:r>
      <w:r>
        <w:rPr>
          <w:i/>
          <w:iCs/>
        </w:rPr>
        <w:t>Proceedings of the National Academy of Sciences</w:t>
      </w:r>
      <w:r>
        <w:t xml:space="preserve">, </w:t>
      </w:r>
      <w:r>
        <w:rPr>
          <w:i/>
          <w:iCs/>
        </w:rPr>
        <w:t>106</w:t>
      </w:r>
      <w:r>
        <w:t xml:space="preserve">(16), 6545–6549. </w:t>
      </w:r>
      <w:hyperlink r:id="rId32">
        <w:r>
          <w:rPr>
            <w:rStyle w:val="Hyperlink"/>
          </w:rPr>
          <w:t>https://doi.org/10.1073/pnas.0811910106</w:t>
        </w:r>
      </w:hyperlink>
    </w:p>
    <w:p w14:paraId="2023B3EE" w14:textId="77777777" w:rsidR="002523DC" w:rsidRDefault="00000000">
      <w:pPr>
        <w:pStyle w:val="Bibliography"/>
      </w:pPr>
      <w:bookmarkStart w:id="46" w:name="ref-farah_2006"/>
      <w:bookmarkEnd w:id="45"/>
      <w:r>
        <w:t xml:space="preserve">Farah, M. J., Shera, D. M., Savage, J. H., Betancourt, L., Giannetta, J. M., Brodsky, N. L., Malmud, E. K., &amp; Hurt, H. (2006). Childhood poverty: Specific associations with neurocognitive development. </w:t>
      </w:r>
      <w:r>
        <w:rPr>
          <w:i/>
          <w:iCs/>
        </w:rPr>
        <w:t>Brain Research</w:t>
      </w:r>
      <w:r>
        <w:t xml:space="preserve">, </w:t>
      </w:r>
      <w:r>
        <w:rPr>
          <w:i/>
          <w:iCs/>
        </w:rPr>
        <w:t>1110</w:t>
      </w:r>
      <w:r>
        <w:t xml:space="preserve">(1), 166–174. </w:t>
      </w:r>
      <w:hyperlink r:id="rId33">
        <w:r>
          <w:rPr>
            <w:rStyle w:val="Hyperlink"/>
          </w:rPr>
          <w:t>https://doi.org/10.1016/j.brainres.2006.06.072</w:t>
        </w:r>
      </w:hyperlink>
    </w:p>
    <w:p w14:paraId="14BA7DD1" w14:textId="77777777" w:rsidR="002523DC" w:rsidRPr="00DF5653" w:rsidRDefault="00000000">
      <w:pPr>
        <w:pStyle w:val="Bibliography"/>
        <w:rPr>
          <w:lang w:val="nl-NL"/>
        </w:rPr>
      </w:pPr>
      <w:bookmarkStart w:id="47" w:name="ref-frankenhuis_2018"/>
      <w:bookmarkEnd w:id="46"/>
      <w:r w:rsidRPr="00DF5653">
        <w:rPr>
          <w:lang w:val="nl-NL"/>
        </w:rPr>
        <w:t xml:space="preserve">Frankenhuis, W. E., &amp; Bijlstra, G. (2018). </w:t>
      </w:r>
      <w:r>
        <w:t xml:space="preserve">Does exposure to hostile environments predict enhanced emotion detection? </w:t>
      </w:r>
      <w:r w:rsidRPr="00DF5653">
        <w:rPr>
          <w:i/>
          <w:iCs/>
          <w:lang w:val="nl-NL"/>
        </w:rPr>
        <w:t>Collabra: Psychology</w:t>
      </w:r>
      <w:r w:rsidRPr="00DF5653">
        <w:rPr>
          <w:lang w:val="nl-NL"/>
        </w:rPr>
        <w:t xml:space="preserve">, </w:t>
      </w:r>
      <w:r w:rsidRPr="00DF5653">
        <w:rPr>
          <w:i/>
          <w:iCs/>
          <w:lang w:val="nl-NL"/>
        </w:rPr>
        <w:t>4</w:t>
      </w:r>
      <w:r w:rsidRPr="00DF5653">
        <w:rPr>
          <w:lang w:val="nl-NL"/>
        </w:rPr>
        <w:t>(1), 18. https://doi.org/</w:t>
      </w:r>
      <w:hyperlink r:id="rId34">
        <w:r w:rsidRPr="00DF5653">
          <w:rPr>
            <w:rStyle w:val="Hyperlink"/>
            <w:lang w:val="nl-NL"/>
          </w:rPr>
          <w:t>https://doi.org/10.1525/collabra.127</w:t>
        </w:r>
      </w:hyperlink>
    </w:p>
    <w:p w14:paraId="517971EC" w14:textId="77777777" w:rsidR="002523DC" w:rsidRDefault="00000000">
      <w:pPr>
        <w:pStyle w:val="Bibliography"/>
      </w:pPr>
      <w:bookmarkStart w:id="48" w:name="ref-frankenhuis_2013"/>
      <w:bookmarkEnd w:id="47"/>
      <w:r w:rsidRPr="00DF5653">
        <w:rPr>
          <w:lang w:val="nl-NL"/>
        </w:rPr>
        <w:t xml:space="preserve">Frankenhuis, W. E., &amp; Weerth, C. de. </w:t>
      </w:r>
      <w:r>
        <w:t xml:space="preserve">(2013). Does Early-Life Exposure to Stress Shape or Impair Cognition? </w:t>
      </w:r>
      <w:r>
        <w:rPr>
          <w:i/>
          <w:iCs/>
        </w:rPr>
        <w:t>Current Directions in Psychological Science</w:t>
      </w:r>
      <w:r>
        <w:t xml:space="preserve">, </w:t>
      </w:r>
      <w:r>
        <w:rPr>
          <w:i/>
          <w:iCs/>
        </w:rPr>
        <w:t>22</w:t>
      </w:r>
      <w:r>
        <w:t xml:space="preserve">(5), 407–412. </w:t>
      </w:r>
      <w:hyperlink r:id="rId35">
        <w:r>
          <w:rPr>
            <w:rStyle w:val="Hyperlink"/>
          </w:rPr>
          <w:t>https://doi.org/10.1177/0963721413484324</w:t>
        </w:r>
      </w:hyperlink>
    </w:p>
    <w:p w14:paraId="3B145103" w14:textId="77777777" w:rsidR="002523DC" w:rsidRDefault="00000000">
      <w:pPr>
        <w:pStyle w:val="Bibliography"/>
      </w:pPr>
      <w:bookmarkStart w:id="49" w:name="ref-frankenhuis_2020"/>
      <w:bookmarkEnd w:id="48"/>
      <w:r>
        <w:lastRenderedPageBreak/>
        <w:t xml:space="preserve">Frankenhuis, W. E., Young, E. S., &amp; Ellis, B. J. (2020). The Hidden Talents approach: Theoretical and methodological challenges. </w:t>
      </w:r>
      <w:r>
        <w:rPr>
          <w:i/>
          <w:iCs/>
        </w:rPr>
        <w:t>Trends in Cognitive Sciences</w:t>
      </w:r>
      <w:r>
        <w:t xml:space="preserve">, </w:t>
      </w:r>
      <w:r>
        <w:rPr>
          <w:i/>
          <w:iCs/>
        </w:rPr>
        <w:t>24</w:t>
      </w:r>
      <w:r>
        <w:t xml:space="preserve">(7), 569–581. </w:t>
      </w:r>
      <w:hyperlink r:id="rId36">
        <w:r>
          <w:rPr>
            <w:rStyle w:val="Hyperlink"/>
          </w:rPr>
          <w:t>https://doi.org/10.1016/j.tics.2020.03.007</w:t>
        </w:r>
      </w:hyperlink>
    </w:p>
    <w:p w14:paraId="1574B79C" w14:textId="77777777" w:rsidR="002523DC" w:rsidRDefault="00000000">
      <w:pPr>
        <w:pStyle w:val="Bibliography"/>
      </w:pPr>
      <w:bookmarkStart w:id="50" w:name="ref-frischkorn_2022"/>
      <w:bookmarkEnd w:id="49"/>
      <w:r>
        <w:t xml:space="preserve">Frischkorn, G. T., Bastian, C. C. von, Souza, A. S., &amp; Oberauer, K. (2022). Individual differences in updating are not related to reasoning ability and working memory capacity. </w:t>
      </w:r>
      <w:r>
        <w:rPr>
          <w:i/>
          <w:iCs/>
        </w:rPr>
        <w:t>Journal of Experimental Psychology: General</w:t>
      </w:r>
      <w:r>
        <w:t xml:space="preserve">, </w:t>
      </w:r>
      <w:r>
        <w:rPr>
          <w:i/>
          <w:iCs/>
        </w:rPr>
        <w:t>151</w:t>
      </w:r>
      <w:r>
        <w:t xml:space="preserve">(6), 1341–1357. </w:t>
      </w:r>
      <w:hyperlink r:id="rId37">
        <w:r>
          <w:rPr>
            <w:rStyle w:val="Hyperlink"/>
          </w:rPr>
          <w:t>https://doi.org/10.1037/xge0001141</w:t>
        </w:r>
      </w:hyperlink>
    </w:p>
    <w:p w14:paraId="39B49525" w14:textId="77777777" w:rsidR="002523DC" w:rsidRDefault="00000000">
      <w:pPr>
        <w:pStyle w:val="Bibliography"/>
      </w:pPr>
      <w:bookmarkStart w:id="51" w:name="ref-frost_2021"/>
      <w:bookmarkEnd w:id="50"/>
      <w:r>
        <w:t xml:space="preserve">Frost, A., Moussaoui, S., Kaur, J., Aziz, S., Fukuda, K., &amp; Niemeier, M. (2021). Is the n-back task a measure of unstructured working memory capacity? Towards understanding its connection to other working memory tasks. </w:t>
      </w:r>
      <w:r>
        <w:rPr>
          <w:i/>
          <w:iCs/>
        </w:rPr>
        <w:t>Acta Psychologica</w:t>
      </w:r>
      <w:r>
        <w:t xml:space="preserve">, </w:t>
      </w:r>
      <w:r>
        <w:rPr>
          <w:i/>
          <w:iCs/>
        </w:rPr>
        <w:t>219</w:t>
      </w:r>
      <w:r>
        <w:t xml:space="preserve">, 103398. </w:t>
      </w:r>
      <w:hyperlink r:id="rId38">
        <w:r>
          <w:rPr>
            <w:rStyle w:val="Hyperlink"/>
          </w:rPr>
          <w:t>https://doi.org/10.1016/j.actpsy.2021.103398</w:t>
        </w:r>
      </w:hyperlink>
    </w:p>
    <w:p w14:paraId="5FCA6C21" w14:textId="77777777" w:rsidR="002523DC" w:rsidRDefault="00000000">
      <w:pPr>
        <w:pStyle w:val="Bibliography"/>
      </w:pPr>
      <w:bookmarkStart w:id="52" w:name="ref-goodman_2019"/>
      <w:bookmarkEnd w:id="51"/>
      <w:r>
        <w:t xml:space="preserve">Goodman, J. B., Freeman, E. E., &amp; Chalmers, K. A. (2019). The relationship between early life stress and working memory in adulthood: A systematic review and meta-analysis. </w:t>
      </w:r>
      <w:r>
        <w:rPr>
          <w:i/>
          <w:iCs/>
        </w:rPr>
        <w:t>Memory</w:t>
      </w:r>
      <w:r>
        <w:t xml:space="preserve">, </w:t>
      </w:r>
      <w:r>
        <w:rPr>
          <w:i/>
          <w:iCs/>
        </w:rPr>
        <w:t>27</w:t>
      </w:r>
      <w:r>
        <w:t xml:space="preserve">(6), 868–880. </w:t>
      </w:r>
      <w:hyperlink r:id="rId39">
        <w:r>
          <w:rPr>
            <w:rStyle w:val="Hyperlink"/>
          </w:rPr>
          <w:t>https://doi.org/10.1080/09658211.2018.1561897</w:t>
        </w:r>
      </w:hyperlink>
    </w:p>
    <w:p w14:paraId="73A316F6" w14:textId="77777777" w:rsidR="002523DC" w:rsidRDefault="00000000">
      <w:pPr>
        <w:pStyle w:val="Bibliography"/>
      </w:pPr>
      <w:bookmarkStart w:id="53" w:name="ref-gruszka_2017"/>
      <w:bookmarkEnd w:id="52"/>
      <w:r>
        <w:t xml:space="preserve">Gruszka, A., &amp; Nęcka, E. (2017). Limitations of working memory capacity: The cognitive and social consequences. </w:t>
      </w:r>
      <w:r>
        <w:rPr>
          <w:i/>
          <w:iCs/>
        </w:rPr>
        <w:t>European Management Journal</w:t>
      </w:r>
      <w:r>
        <w:t xml:space="preserve">, </w:t>
      </w:r>
      <w:r>
        <w:rPr>
          <w:i/>
          <w:iCs/>
        </w:rPr>
        <w:t>35</w:t>
      </w:r>
      <w:r>
        <w:t xml:space="preserve">(6), 776–784. </w:t>
      </w:r>
      <w:hyperlink r:id="rId40">
        <w:r>
          <w:rPr>
            <w:rStyle w:val="Hyperlink"/>
          </w:rPr>
          <w:t>https://doi.org/10.1016/j.emj.2017.07.001</w:t>
        </w:r>
      </w:hyperlink>
    </w:p>
    <w:p w14:paraId="52B4C790" w14:textId="77777777" w:rsidR="002523DC" w:rsidRDefault="00000000">
      <w:pPr>
        <w:pStyle w:val="Bibliography"/>
      </w:pPr>
      <w:bookmarkStart w:id="54" w:name="ref-guo_2020"/>
      <w:bookmarkEnd w:id="53"/>
      <w:r>
        <w:t xml:space="preserve">Guo, Z., Zou, J., He, C., Tan, X., Chen, C., &amp; Feng, G. (2020). The Importance of cognitive and mental factors on prediction of job performance in chinese high-speed railway dispatchers. </w:t>
      </w:r>
      <w:r>
        <w:rPr>
          <w:i/>
          <w:iCs/>
        </w:rPr>
        <w:t>Journal of Advanced Transportation</w:t>
      </w:r>
      <w:r>
        <w:t xml:space="preserve">, </w:t>
      </w:r>
      <w:r>
        <w:rPr>
          <w:i/>
          <w:iCs/>
        </w:rPr>
        <w:t>2020</w:t>
      </w:r>
      <w:r>
        <w:t xml:space="preserve">, e7153972. </w:t>
      </w:r>
      <w:hyperlink r:id="rId41">
        <w:r>
          <w:rPr>
            <w:rStyle w:val="Hyperlink"/>
          </w:rPr>
          <w:t>https://doi.org/10.1155/2020/7153972</w:t>
        </w:r>
      </w:hyperlink>
    </w:p>
    <w:p w14:paraId="7C58C43D" w14:textId="77777777" w:rsidR="002523DC" w:rsidRDefault="00000000">
      <w:pPr>
        <w:pStyle w:val="Bibliography"/>
      </w:pPr>
      <w:bookmarkStart w:id="55" w:name="ref-hackman_2010"/>
      <w:bookmarkEnd w:id="54"/>
      <w:r>
        <w:lastRenderedPageBreak/>
        <w:t xml:space="preserve">Hackman, D. A., Farah, M. J., &amp; Meaney, M. J. (2010). Socioeconomic status and the brain: Mechanistic insights from human and animal research. </w:t>
      </w:r>
      <w:r>
        <w:rPr>
          <w:i/>
          <w:iCs/>
        </w:rPr>
        <w:t>Nature Reviews Neuroscience</w:t>
      </w:r>
      <w:r>
        <w:t xml:space="preserve">, </w:t>
      </w:r>
      <w:r>
        <w:rPr>
          <w:i/>
          <w:iCs/>
        </w:rPr>
        <w:t>11</w:t>
      </w:r>
      <w:r>
        <w:t>(9), 651–659. https://doi.org/</w:t>
      </w:r>
      <w:hyperlink r:id="rId42">
        <w:r>
          <w:rPr>
            <w:rStyle w:val="Hyperlink"/>
          </w:rPr>
          <w:t>https://doi.org/10.1038/nrn2897</w:t>
        </w:r>
      </w:hyperlink>
    </w:p>
    <w:p w14:paraId="746D4BB2" w14:textId="77777777" w:rsidR="002523DC" w:rsidRDefault="00000000">
      <w:pPr>
        <w:pStyle w:val="Bibliography"/>
      </w:pPr>
      <w:bookmarkStart w:id="56" w:name="ref-hanson_2012"/>
      <w:bookmarkEnd w:id="55"/>
      <w:r>
        <w:t xml:space="preserve">Hanson, J. L., Chung, M. K., Avants, B. B., Rudolph, K. D., Shirtcliff, E. A., Gee, J. C., Davidson, R. J., &amp; Pollak, S. D. (2012). Structural Variations in prefrontal cortex mediate the relationship between early childhood stress and spatial working memory. </w:t>
      </w:r>
      <w:r>
        <w:rPr>
          <w:i/>
          <w:iCs/>
        </w:rPr>
        <w:t>Journal of Neuroscience</w:t>
      </w:r>
      <w:r>
        <w:t xml:space="preserve">, </w:t>
      </w:r>
      <w:r>
        <w:rPr>
          <w:i/>
          <w:iCs/>
        </w:rPr>
        <w:t>32</w:t>
      </w:r>
      <w:r>
        <w:t xml:space="preserve">(23), 7917–7925. </w:t>
      </w:r>
      <w:hyperlink r:id="rId43">
        <w:r>
          <w:rPr>
            <w:rStyle w:val="Hyperlink"/>
          </w:rPr>
          <w:t>https://doi.org/10.1523/JNEUROSCI.0307-12.2012</w:t>
        </w:r>
      </w:hyperlink>
    </w:p>
    <w:p w14:paraId="1FFDEF77" w14:textId="77777777" w:rsidR="002523DC" w:rsidRDefault="00000000">
      <w:pPr>
        <w:pStyle w:val="Bibliography"/>
      </w:pPr>
      <w:bookmarkStart w:id="57" w:name="ref-hu_1999"/>
      <w:bookmarkEnd w:id="56"/>
      <w:r>
        <w:t xml:space="preserve">Hu, L., &amp; Bentler, P. M. (1999). Cutoff criteria for fit indexes in covariance structure analysis: Conventional criteria versus new alternatives. </w:t>
      </w:r>
      <w:r>
        <w:rPr>
          <w:i/>
          <w:iCs/>
        </w:rPr>
        <w:t>Structural Equation Modeling</w:t>
      </w:r>
      <w:r>
        <w:t xml:space="preserve">, </w:t>
      </w:r>
      <w:r>
        <w:rPr>
          <w:i/>
          <w:iCs/>
        </w:rPr>
        <w:t>6</w:t>
      </w:r>
      <w:r>
        <w:t xml:space="preserve">, 1–55. </w:t>
      </w:r>
      <w:hyperlink r:id="rId44">
        <w:r>
          <w:rPr>
            <w:rStyle w:val="Hyperlink"/>
          </w:rPr>
          <w:t>https://doi.org/10.1080/10705519909540118</w:t>
        </w:r>
      </w:hyperlink>
    </w:p>
    <w:p w14:paraId="6BD86F2F" w14:textId="77777777" w:rsidR="002523DC" w:rsidRDefault="00000000">
      <w:pPr>
        <w:pStyle w:val="Bibliography"/>
      </w:pPr>
      <w:bookmarkStart w:id="58" w:name="ref-kane_2007"/>
      <w:bookmarkEnd w:id="57"/>
      <w:r>
        <w:t xml:space="preserve">Kane, M. J., Conway, A. R. A., Miura, T. K., &amp; Colflesh, G. J. H. (2007). Working memory, attention control, and the n-back task: A question of construct validity. </w:t>
      </w:r>
      <w:r>
        <w:rPr>
          <w:i/>
          <w:iCs/>
        </w:rPr>
        <w:t>Journal of Experimental Psychology: Learning, Memory, and Cognition</w:t>
      </w:r>
      <w:r>
        <w:t xml:space="preserve">, </w:t>
      </w:r>
      <w:r>
        <w:rPr>
          <w:i/>
          <w:iCs/>
        </w:rPr>
        <w:t>33</w:t>
      </w:r>
      <w:r>
        <w:t xml:space="preserve">(3), 615–622. </w:t>
      </w:r>
      <w:hyperlink r:id="rId45">
        <w:r>
          <w:rPr>
            <w:rStyle w:val="Hyperlink"/>
          </w:rPr>
          <w:t>https://doi.org/10.1037/0278-7393.33.3.615</w:t>
        </w:r>
      </w:hyperlink>
    </w:p>
    <w:p w14:paraId="692E5ECD" w14:textId="77777777" w:rsidR="002523DC" w:rsidRDefault="00000000">
      <w:pPr>
        <w:pStyle w:val="Bibliography"/>
      </w:pPr>
      <w:bookmarkStart w:id="59" w:name="ref-klein_2001"/>
      <w:bookmarkEnd w:id="58"/>
      <w:r>
        <w:t xml:space="preserve">Klein, K., &amp; Boals, A. (2001). The relationship of life event stress and working memory capacity. </w:t>
      </w:r>
      <w:r>
        <w:rPr>
          <w:i/>
          <w:iCs/>
        </w:rPr>
        <w:t>Applied Cognitive Psychology</w:t>
      </w:r>
      <w:r>
        <w:t xml:space="preserve">, </w:t>
      </w:r>
      <w:r>
        <w:rPr>
          <w:i/>
          <w:iCs/>
        </w:rPr>
        <w:t>15</w:t>
      </w:r>
      <w:r>
        <w:t xml:space="preserve">(5), 565–579. </w:t>
      </w:r>
      <w:hyperlink r:id="rId46">
        <w:r>
          <w:rPr>
            <w:rStyle w:val="Hyperlink"/>
          </w:rPr>
          <w:t>https://doi.org/10.1002/acp.727</w:t>
        </w:r>
      </w:hyperlink>
    </w:p>
    <w:p w14:paraId="32F7BAB6" w14:textId="77777777" w:rsidR="002523DC" w:rsidRDefault="00000000">
      <w:pPr>
        <w:pStyle w:val="Bibliography"/>
      </w:pPr>
      <w:bookmarkStart w:id="60" w:name="ref-kretzschmar_2019"/>
      <w:bookmarkEnd w:id="59"/>
      <w:r>
        <w:t xml:space="preserve">Kretzschmar, A., &amp; Gignac, G. E. (2019). At what sample size do latent variable correlations stabilize? </w:t>
      </w:r>
      <w:r>
        <w:rPr>
          <w:i/>
          <w:iCs/>
        </w:rPr>
        <w:t>Journal of Research in Personality</w:t>
      </w:r>
      <w:r>
        <w:t xml:space="preserve">, </w:t>
      </w:r>
      <w:r>
        <w:rPr>
          <w:i/>
          <w:iCs/>
        </w:rPr>
        <w:t>80</w:t>
      </w:r>
      <w:r>
        <w:t xml:space="preserve">, 17–22. </w:t>
      </w:r>
      <w:hyperlink r:id="rId47">
        <w:r>
          <w:rPr>
            <w:rStyle w:val="Hyperlink"/>
          </w:rPr>
          <w:t>https://doi.org/10.1016/j.jrp.2019.03.007</w:t>
        </w:r>
      </w:hyperlink>
    </w:p>
    <w:p w14:paraId="64C2A298" w14:textId="77777777" w:rsidR="002523DC" w:rsidRDefault="00000000">
      <w:pPr>
        <w:pStyle w:val="Bibliography"/>
      </w:pPr>
      <w:bookmarkStart w:id="61" w:name="ref-li_2018"/>
      <w:bookmarkEnd w:id="60"/>
      <w:r>
        <w:t xml:space="preserve">Li, Z., Liu, S., Hartman, S., &amp; Belsky, J. (2018). Interactive effects of early-life income harshness and unpredictability on children’s socioemotional and academic functioning in kindergarten and adolescence. </w:t>
      </w:r>
      <w:r>
        <w:rPr>
          <w:i/>
          <w:iCs/>
        </w:rPr>
        <w:t>Developmental Psychology</w:t>
      </w:r>
      <w:r>
        <w:t xml:space="preserve">, </w:t>
      </w:r>
      <w:r>
        <w:rPr>
          <w:i/>
          <w:iCs/>
        </w:rPr>
        <w:t>54</w:t>
      </w:r>
      <w:r>
        <w:t xml:space="preserve">(11), 2101–2112. </w:t>
      </w:r>
      <w:hyperlink r:id="rId48">
        <w:r>
          <w:rPr>
            <w:rStyle w:val="Hyperlink"/>
          </w:rPr>
          <w:t>https://doi.org/10.1037/dev0000601</w:t>
        </w:r>
      </w:hyperlink>
    </w:p>
    <w:p w14:paraId="19E49031" w14:textId="77777777" w:rsidR="002523DC" w:rsidRDefault="00000000">
      <w:pPr>
        <w:pStyle w:val="Bibliography"/>
      </w:pPr>
      <w:bookmarkStart w:id="62" w:name="ref-mclaughlin_2016"/>
      <w:bookmarkEnd w:id="61"/>
      <w:r>
        <w:lastRenderedPageBreak/>
        <w:t xml:space="preserve">McLaughlin, K. A., &amp; Sheridan, M. A. (2016). Beyond cumulative risk: A dimensional approach to childhood adversity. </w:t>
      </w:r>
      <w:r>
        <w:rPr>
          <w:i/>
          <w:iCs/>
        </w:rPr>
        <w:t>Current Directions in Psychological Science</w:t>
      </w:r>
      <w:r>
        <w:t xml:space="preserve">, </w:t>
      </w:r>
      <w:r>
        <w:rPr>
          <w:i/>
          <w:iCs/>
        </w:rPr>
        <w:t>25</w:t>
      </w:r>
      <w:r>
        <w:t xml:space="preserve">(4), 239–245. </w:t>
      </w:r>
      <w:hyperlink r:id="rId49">
        <w:r>
          <w:rPr>
            <w:rStyle w:val="Hyperlink"/>
          </w:rPr>
          <w:t>https://doi.org/10.1177/0963721416655883</w:t>
        </w:r>
      </w:hyperlink>
    </w:p>
    <w:p w14:paraId="707C5BA6" w14:textId="77777777" w:rsidR="002523DC" w:rsidRDefault="00000000">
      <w:pPr>
        <w:pStyle w:val="Bibliography"/>
      </w:pPr>
      <w:bookmarkStart w:id="63" w:name="ref-mclaughlin_2021"/>
      <w:bookmarkEnd w:id="62"/>
      <w:r>
        <w:t xml:space="preserve">McLaughlin, K. A., Sheridan, M. A., Humphreys, K. L., Belsky, J., &amp; Ellis, B. J. (2021). The value of dimensional models of early experience: Thinking clearly about concepts and categories. </w:t>
      </w:r>
      <w:r>
        <w:rPr>
          <w:i/>
          <w:iCs/>
        </w:rPr>
        <w:t>Perspectives on Psychological Science</w:t>
      </w:r>
      <w:r>
        <w:t xml:space="preserve">, </w:t>
      </w:r>
      <w:r>
        <w:rPr>
          <w:i/>
          <w:iCs/>
        </w:rPr>
        <w:t>16</w:t>
      </w:r>
      <w:r>
        <w:t xml:space="preserve">(6), 1463–1472. </w:t>
      </w:r>
      <w:hyperlink r:id="rId50">
        <w:r>
          <w:rPr>
            <w:rStyle w:val="Hyperlink"/>
          </w:rPr>
          <w:t>https://doi.org/10.1177/1745691621992346</w:t>
        </w:r>
      </w:hyperlink>
    </w:p>
    <w:p w14:paraId="6DD4E3D1" w14:textId="77777777" w:rsidR="002523DC" w:rsidRDefault="00000000">
      <w:pPr>
        <w:pStyle w:val="Bibliography"/>
      </w:pPr>
      <w:bookmarkStart w:id="64" w:name="ref-mutter_2006"/>
      <w:bookmarkEnd w:id="63"/>
      <w:r>
        <w:t xml:space="preserve">Mutter, B., Alcorn, M., &amp; Welsh, M. (2006). Theory of mind and executive function: Working-memory capacity and inhibitory control as predictors of false-belief task performance. </w:t>
      </w:r>
      <w:r>
        <w:rPr>
          <w:i/>
          <w:iCs/>
        </w:rPr>
        <w:t>Perceptual and Motor Skills</w:t>
      </w:r>
      <w:r>
        <w:t xml:space="preserve">, </w:t>
      </w:r>
      <w:r>
        <w:rPr>
          <w:i/>
          <w:iCs/>
        </w:rPr>
        <w:t>102</w:t>
      </w:r>
      <w:r>
        <w:t xml:space="preserve">, 819–835. </w:t>
      </w:r>
      <w:hyperlink r:id="rId51">
        <w:r>
          <w:rPr>
            <w:rStyle w:val="Hyperlink"/>
          </w:rPr>
          <w:t>https://doi.org/10.2466/PMS.102.3.819-835</w:t>
        </w:r>
      </w:hyperlink>
    </w:p>
    <w:p w14:paraId="1B34B427" w14:textId="77777777" w:rsidR="002523DC" w:rsidRDefault="00000000">
      <w:pPr>
        <w:pStyle w:val="Bibliography"/>
      </w:pPr>
      <w:bookmarkStart w:id="65" w:name="ref-noble_2007"/>
      <w:bookmarkEnd w:id="64"/>
      <w:r>
        <w:t xml:space="preserve">Noble, K. G., McCandliss, B. D., &amp; Farah, M. J. (2007). Socioeconomic gradients predict individual differences in neurocognitive abilities. </w:t>
      </w:r>
      <w:r>
        <w:rPr>
          <w:i/>
          <w:iCs/>
        </w:rPr>
        <w:t>Developmental Science</w:t>
      </w:r>
      <w:r>
        <w:t xml:space="preserve">, </w:t>
      </w:r>
      <w:r>
        <w:rPr>
          <w:i/>
          <w:iCs/>
        </w:rPr>
        <w:t>10</w:t>
      </w:r>
      <w:r>
        <w:t xml:space="preserve">(4), 464–480. </w:t>
      </w:r>
      <w:hyperlink r:id="rId52">
        <w:r>
          <w:rPr>
            <w:rStyle w:val="Hyperlink"/>
          </w:rPr>
          <w:t>https://doi.org/10.1111/j.1467-7687.2007.00600.x</w:t>
        </w:r>
      </w:hyperlink>
    </w:p>
    <w:p w14:paraId="4FEFECF2" w14:textId="77777777" w:rsidR="002523DC" w:rsidRDefault="00000000">
      <w:pPr>
        <w:pStyle w:val="Bibliography"/>
      </w:pPr>
      <w:bookmarkStart w:id="66" w:name="ref-nweze_2021"/>
      <w:bookmarkEnd w:id="65"/>
      <w:r>
        <w:t xml:space="preserve">Nweze, T., Nwoke, M. B., Nwufo, J. I., Aniekwu, R. I., &amp; Lange, F. (2021). Working for the future: Parentally deprived Nigerian children have enhanced working memory ability. </w:t>
      </w:r>
      <w:r>
        <w:rPr>
          <w:i/>
          <w:iCs/>
        </w:rPr>
        <w:t>Journal of Child Psychology and Psychiatry</w:t>
      </w:r>
      <w:r>
        <w:t xml:space="preserve">, </w:t>
      </w:r>
      <w:r>
        <w:rPr>
          <w:i/>
          <w:iCs/>
        </w:rPr>
        <w:t>62</w:t>
      </w:r>
      <w:r>
        <w:t xml:space="preserve">(3), 280–288. </w:t>
      </w:r>
      <w:hyperlink r:id="rId53">
        <w:r>
          <w:rPr>
            <w:rStyle w:val="Hyperlink"/>
          </w:rPr>
          <w:t>https://doi.org/10.1111/jcpp.13241</w:t>
        </w:r>
      </w:hyperlink>
    </w:p>
    <w:p w14:paraId="4261E345" w14:textId="77777777" w:rsidR="002523DC" w:rsidRDefault="00000000">
      <w:pPr>
        <w:pStyle w:val="Bibliography"/>
      </w:pPr>
      <w:bookmarkStart w:id="67" w:name="ref-oberauer_2005"/>
      <w:bookmarkEnd w:id="66"/>
      <w:r>
        <w:t xml:space="preserve">Oberauer, K. (2005). Binding and inhibition in working memory: Individual and age differences in short-term recognition. </w:t>
      </w:r>
      <w:r>
        <w:rPr>
          <w:i/>
          <w:iCs/>
        </w:rPr>
        <w:t>Journal of Experimental Psychology: General</w:t>
      </w:r>
      <w:r>
        <w:t xml:space="preserve">, </w:t>
      </w:r>
      <w:r>
        <w:rPr>
          <w:i/>
          <w:iCs/>
        </w:rPr>
        <w:t>134</w:t>
      </w:r>
      <w:r>
        <w:t xml:space="preserve">(3), 368–387. </w:t>
      </w:r>
      <w:hyperlink r:id="rId54">
        <w:r>
          <w:rPr>
            <w:rStyle w:val="Hyperlink"/>
          </w:rPr>
          <w:t>https://doi.org/10.1037/0096-3445.134.3.368</w:t>
        </w:r>
      </w:hyperlink>
    </w:p>
    <w:p w14:paraId="4058A25C" w14:textId="77777777" w:rsidR="002523DC" w:rsidRDefault="00000000">
      <w:pPr>
        <w:pStyle w:val="Bibliography"/>
      </w:pPr>
      <w:bookmarkStart w:id="68" w:name="ref-oberauer_2009"/>
      <w:bookmarkEnd w:id="67"/>
      <w:r>
        <w:t xml:space="preserve">Oberauer, K. (2009). Design for a Working Memory. In </w:t>
      </w:r>
      <w:r>
        <w:rPr>
          <w:i/>
          <w:iCs/>
        </w:rPr>
        <w:t>Psychology of Learning and Motivation</w:t>
      </w:r>
      <w:r>
        <w:t xml:space="preserve"> (Vol. 51, pp. 45–100). Elsevier. </w:t>
      </w:r>
      <w:hyperlink r:id="rId55">
        <w:r>
          <w:rPr>
            <w:rStyle w:val="Hyperlink"/>
          </w:rPr>
          <w:t>https://linkinghub.elsevier.com/retrieve/pii/S007974210951002X</w:t>
        </w:r>
      </w:hyperlink>
    </w:p>
    <w:p w14:paraId="23598A86" w14:textId="77777777" w:rsidR="002523DC" w:rsidRDefault="00000000">
      <w:pPr>
        <w:pStyle w:val="Bibliography"/>
      </w:pPr>
      <w:bookmarkStart w:id="69" w:name="ref-oberauer_2019"/>
      <w:bookmarkEnd w:id="68"/>
      <w:r>
        <w:lastRenderedPageBreak/>
        <w:t xml:space="preserve">Oberauer, K. (2019). Working Memory Capacity Limits Memory for Bindings. </w:t>
      </w:r>
      <w:r>
        <w:rPr>
          <w:i/>
          <w:iCs/>
        </w:rPr>
        <w:t>Journal of Cognition</w:t>
      </w:r>
      <w:r>
        <w:t xml:space="preserve">, </w:t>
      </w:r>
      <w:r>
        <w:rPr>
          <w:i/>
          <w:iCs/>
        </w:rPr>
        <w:t>2</w:t>
      </w:r>
      <w:r>
        <w:t xml:space="preserve">(1), 40. </w:t>
      </w:r>
      <w:hyperlink r:id="rId56">
        <w:r>
          <w:rPr>
            <w:rStyle w:val="Hyperlink"/>
          </w:rPr>
          <w:t>https://doi.org/10.5334/joc.86</w:t>
        </w:r>
      </w:hyperlink>
    </w:p>
    <w:p w14:paraId="3D240E1F" w14:textId="77777777" w:rsidR="002523DC" w:rsidRPr="00DF5653" w:rsidRDefault="00000000">
      <w:pPr>
        <w:pStyle w:val="Bibliography"/>
        <w:rPr>
          <w:lang w:val="nl-NL"/>
        </w:rPr>
      </w:pPr>
      <w:bookmarkStart w:id="70" w:name="ref-oberauer_2018"/>
      <w:bookmarkEnd w:id="69"/>
      <w:r>
        <w:t xml:space="preserve">Oberauer, K., Lewandowsky, S., Awh, E., Brown, G. D. A., Conway, A., Cowan, N., Donkin, C., Farrell, S., Hitch, G. J., Hurlstone, M. J., Ma, W. J., Morey, C. C., Nee, D. E., Schweppe, J., Vergauwe, E., &amp; Ward, G. (2018). Benchmarks for models of short-term and working memory. </w:t>
      </w:r>
      <w:r>
        <w:rPr>
          <w:i/>
          <w:iCs/>
        </w:rPr>
        <w:t>Psychological Bulletin</w:t>
      </w:r>
      <w:r>
        <w:t xml:space="preserve">, </w:t>
      </w:r>
      <w:r>
        <w:rPr>
          <w:i/>
          <w:iCs/>
        </w:rPr>
        <w:t>144</w:t>
      </w:r>
      <w:r>
        <w:t xml:space="preserve">(9), 885–958. </w:t>
      </w:r>
      <w:hyperlink r:id="rId57">
        <w:r w:rsidRPr="00DF5653">
          <w:rPr>
            <w:rStyle w:val="Hyperlink"/>
            <w:lang w:val="nl-NL"/>
          </w:rPr>
          <w:t>https://doi.org/10.1037/bul0000153</w:t>
        </w:r>
      </w:hyperlink>
    </w:p>
    <w:p w14:paraId="2B3E9421" w14:textId="77777777" w:rsidR="002523DC" w:rsidRDefault="00000000">
      <w:pPr>
        <w:pStyle w:val="Bibliography"/>
      </w:pPr>
      <w:bookmarkStart w:id="71" w:name="ref-oberauer_2000"/>
      <w:bookmarkEnd w:id="70"/>
      <w:r w:rsidRPr="00DF5653">
        <w:rPr>
          <w:lang w:val="nl-NL"/>
        </w:rPr>
        <w:t xml:space="preserve">Oberauer, K., Süß, H.-M., Schulze, R., Wilhelm, O., &amp; Wittmann, W. W. (2000). </w:t>
      </w:r>
      <w:r>
        <w:t xml:space="preserve">Working memory capacity — facets of a cognitive ability construct. </w:t>
      </w:r>
      <w:r>
        <w:rPr>
          <w:i/>
          <w:iCs/>
        </w:rPr>
        <w:t>Personality and Individual Differences</w:t>
      </w:r>
      <w:r>
        <w:t xml:space="preserve">, </w:t>
      </w:r>
      <w:r>
        <w:rPr>
          <w:i/>
          <w:iCs/>
        </w:rPr>
        <w:t>29</w:t>
      </w:r>
      <w:r>
        <w:t xml:space="preserve">(6), 1017–1045. </w:t>
      </w:r>
      <w:hyperlink r:id="rId58">
        <w:r>
          <w:rPr>
            <w:rStyle w:val="Hyperlink"/>
          </w:rPr>
          <w:t>https://doi.org/10.1016/S0191-8869(99)00251-2</w:t>
        </w:r>
      </w:hyperlink>
    </w:p>
    <w:p w14:paraId="1AC579CD" w14:textId="77777777" w:rsidR="002523DC" w:rsidRDefault="00000000">
      <w:pPr>
        <w:pStyle w:val="Bibliography"/>
      </w:pPr>
      <w:bookmarkStart w:id="72" w:name="ref-oberski_2014"/>
      <w:bookmarkEnd w:id="71"/>
      <w:r>
        <w:t xml:space="preserve">Oberski, D. (2014). Lavaan.survey : An R package for complex survey analysis of structural equation models. </w:t>
      </w:r>
      <w:r>
        <w:rPr>
          <w:i/>
          <w:iCs/>
        </w:rPr>
        <w:t>Journal of Statistical Software</w:t>
      </w:r>
      <w:r>
        <w:t xml:space="preserve">, </w:t>
      </w:r>
      <w:r>
        <w:rPr>
          <w:i/>
          <w:iCs/>
        </w:rPr>
        <w:t>57</w:t>
      </w:r>
      <w:r>
        <w:t xml:space="preserve">(1). </w:t>
      </w:r>
      <w:hyperlink r:id="rId59">
        <w:r>
          <w:rPr>
            <w:rStyle w:val="Hyperlink"/>
          </w:rPr>
          <w:t>https://doi.org/10.18637/jss.v057.i01</w:t>
        </w:r>
      </w:hyperlink>
    </w:p>
    <w:p w14:paraId="24DE6FB6" w14:textId="77777777" w:rsidR="002523DC" w:rsidRDefault="00000000">
      <w:pPr>
        <w:pStyle w:val="Bibliography"/>
      </w:pPr>
      <w:bookmarkStart w:id="73" w:name="ref-peng_2016"/>
      <w:bookmarkEnd w:id="72"/>
      <w:r>
        <w:t xml:space="preserve">Peng, P., &amp; Fuchs, D. (2016). A meta-analysis of working memory deficits in children with learning difficulties: Is there a difference between verbal domain and numerical domain? </w:t>
      </w:r>
      <w:r>
        <w:rPr>
          <w:i/>
          <w:iCs/>
        </w:rPr>
        <w:t>Journal of Learning Disabilities</w:t>
      </w:r>
      <w:r>
        <w:t xml:space="preserve">, </w:t>
      </w:r>
      <w:r>
        <w:rPr>
          <w:i/>
          <w:iCs/>
        </w:rPr>
        <w:t>49</w:t>
      </w:r>
      <w:r>
        <w:t xml:space="preserve">(1), 3–20. </w:t>
      </w:r>
      <w:hyperlink r:id="rId60">
        <w:r>
          <w:rPr>
            <w:rStyle w:val="Hyperlink"/>
          </w:rPr>
          <w:t>https://doi.org/10.1177/0022219414521667</w:t>
        </w:r>
      </w:hyperlink>
    </w:p>
    <w:p w14:paraId="0470627A" w14:textId="77777777" w:rsidR="002523DC" w:rsidRDefault="00000000">
      <w:pPr>
        <w:pStyle w:val="Bibliography"/>
      </w:pPr>
      <w:bookmarkStart w:id="74" w:name="ref-rosseel_2012"/>
      <w:bookmarkEnd w:id="73"/>
      <w:r>
        <w:t xml:space="preserve">Rosseel, Y. (2012). Lavaan: An R package for structural equation modeling. </w:t>
      </w:r>
      <w:r>
        <w:rPr>
          <w:i/>
          <w:iCs/>
        </w:rPr>
        <w:t>Journal of Statistical Software</w:t>
      </w:r>
      <w:r>
        <w:t xml:space="preserve">, </w:t>
      </w:r>
      <w:r>
        <w:rPr>
          <w:i/>
          <w:iCs/>
        </w:rPr>
        <w:t>48</w:t>
      </w:r>
      <w:r>
        <w:t xml:space="preserve">, 1–36. </w:t>
      </w:r>
      <w:hyperlink r:id="rId61">
        <w:r>
          <w:rPr>
            <w:rStyle w:val="Hyperlink"/>
          </w:rPr>
          <w:t>https://doi.org/10.18637/jss.v048.i02</w:t>
        </w:r>
      </w:hyperlink>
    </w:p>
    <w:p w14:paraId="667E8F20" w14:textId="77777777" w:rsidR="002523DC" w:rsidRDefault="00000000">
      <w:pPr>
        <w:pStyle w:val="Bibliography"/>
      </w:pPr>
      <w:bookmarkStart w:id="75" w:name="ref-scherpenzeel_2011"/>
      <w:bookmarkEnd w:id="74"/>
      <w:r>
        <w:t xml:space="preserve">Scherpenzeel, A. (2011). Data collection in a probability-based internet panel: How the LISS Panel was built and how it can be used. </w:t>
      </w:r>
      <w:r>
        <w:rPr>
          <w:i/>
          <w:iCs/>
        </w:rPr>
        <w:t>Bulletin of Sociological Methodology</w:t>
      </w:r>
      <w:r>
        <w:t xml:space="preserve">, </w:t>
      </w:r>
      <w:r>
        <w:rPr>
          <w:i/>
          <w:iCs/>
        </w:rPr>
        <w:t>109</w:t>
      </w:r>
      <w:r>
        <w:t xml:space="preserve">, 56–61. </w:t>
      </w:r>
      <w:hyperlink r:id="rId62">
        <w:r>
          <w:rPr>
            <w:rStyle w:val="Hyperlink"/>
          </w:rPr>
          <w:t>https://doi.org/10.1177/0759106310387713</w:t>
        </w:r>
      </w:hyperlink>
    </w:p>
    <w:p w14:paraId="2045B04B" w14:textId="77777777" w:rsidR="002523DC" w:rsidRDefault="00000000">
      <w:pPr>
        <w:pStyle w:val="Bibliography"/>
      </w:pPr>
      <w:bookmarkStart w:id="76" w:name="ref-schmiedek_2009"/>
      <w:bookmarkEnd w:id="75"/>
      <w:r>
        <w:lastRenderedPageBreak/>
        <w:t xml:space="preserve">Schmiedek, F., Hildebrandt, A., Lövdén, M., Wilhelm, O., &amp; Lindenberger, U. (2009). Complex span versus updating tasks of working memory: The gap is not that deep. </w:t>
      </w:r>
      <w:r>
        <w:rPr>
          <w:i/>
          <w:iCs/>
        </w:rPr>
        <w:t>Journal of Experimental Psychology. Learning, Memory, and Cognition</w:t>
      </w:r>
      <w:r>
        <w:t xml:space="preserve">, </w:t>
      </w:r>
      <w:r>
        <w:rPr>
          <w:i/>
          <w:iCs/>
        </w:rPr>
        <w:t>35</w:t>
      </w:r>
      <w:r>
        <w:t xml:space="preserve">(4), 1089–1096. </w:t>
      </w:r>
      <w:hyperlink r:id="rId63">
        <w:r>
          <w:rPr>
            <w:rStyle w:val="Hyperlink"/>
          </w:rPr>
          <w:t>https://doi.org/10.1037/a0015730</w:t>
        </w:r>
      </w:hyperlink>
    </w:p>
    <w:p w14:paraId="2C88F5C7" w14:textId="77777777" w:rsidR="002523DC" w:rsidRDefault="00000000">
      <w:pPr>
        <w:pStyle w:val="Bibliography"/>
      </w:pPr>
      <w:bookmarkStart w:id="77" w:name="ref-sheridan_2014"/>
      <w:bookmarkEnd w:id="76"/>
      <w:r>
        <w:t xml:space="preserve">Sheridan, M. A., &amp; McLaughlin, K. A. (2014). Dimensions of early experience and neural development: Deprivation and threat. </w:t>
      </w:r>
      <w:r>
        <w:rPr>
          <w:i/>
          <w:iCs/>
        </w:rPr>
        <w:t>Trends in Cognitive Sciences</w:t>
      </w:r>
      <w:r>
        <w:t xml:space="preserve">, </w:t>
      </w:r>
      <w:r>
        <w:rPr>
          <w:i/>
          <w:iCs/>
        </w:rPr>
        <w:t>18</w:t>
      </w:r>
      <w:r>
        <w:t xml:space="preserve">(11), 580–585. </w:t>
      </w:r>
      <w:hyperlink r:id="rId64">
        <w:r>
          <w:rPr>
            <w:rStyle w:val="Hyperlink"/>
          </w:rPr>
          <w:t>https://doi.org/10.1016/j.tics.2014.09.001</w:t>
        </w:r>
      </w:hyperlink>
    </w:p>
    <w:p w14:paraId="1D49A68A" w14:textId="77777777" w:rsidR="002523DC" w:rsidRDefault="00000000">
      <w:pPr>
        <w:pStyle w:val="Bibliography"/>
      </w:pPr>
      <w:bookmarkStart w:id="78" w:name="ref-sheridan_2022"/>
      <w:bookmarkEnd w:id="77"/>
      <w:r>
        <w:t xml:space="preserve">Sheridan, M. A., Mukerji, C. E., Wade, M., Humphreys, K. L., Garrisi, K., Goel, S., Patel, K., Fox, N. A., Zeanah, C. H., Nelson, C. A., &amp; McLaughlin, K. A. (2022). Early deprivation alters structural brain development from middle childhood to adolescence. </w:t>
      </w:r>
      <w:r>
        <w:rPr>
          <w:i/>
          <w:iCs/>
        </w:rPr>
        <w:t>Science Advances</w:t>
      </w:r>
      <w:r>
        <w:t xml:space="preserve">, </w:t>
      </w:r>
      <w:r>
        <w:rPr>
          <w:i/>
          <w:iCs/>
        </w:rPr>
        <w:t>8</w:t>
      </w:r>
      <w:r>
        <w:t xml:space="preserve">(40), eabn4316. </w:t>
      </w:r>
      <w:hyperlink r:id="rId65">
        <w:r>
          <w:rPr>
            <w:rStyle w:val="Hyperlink"/>
          </w:rPr>
          <w:t>https://doi.org/10.1126/sciadv.abn4316</w:t>
        </w:r>
      </w:hyperlink>
    </w:p>
    <w:p w14:paraId="2D86CE68" w14:textId="77777777" w:rsidR="002523DC" w:rsidRDefault="00000000">
      <w:pPr>
        <w:pStyle w:val="Bibliography"/>
      </w:pPr>
      <w:bookmarkStart w:id="79" w:name="ref-sheridan_2020"/>
      <w:bookmarkEnd w:id="78"/>
      <w:r>
        <w:t xml:space="preserve">Sheridan, M. A., Shi, F., Miller, A. B., Salhi, C., &amp; McLaughlin, K. A. (2020). Network structure reveals clusters of associations between childhood adversities and development outcomes. </w:t>
      </w:r>
      <w:r>
        <w:rPr>
          <w:i/>
          <w:iCs/>
        </w:rPr>
        <w:t>Developmental Science</w:t>
      </w:r>
      <w:r>
        <w:t xml:space="preserve">, </w:t>
      </w:r>
      <w:r>
        <w:rPr>
          <w:i/>
          <w:iCs/>
        </w:rPr>
        <w:t>23</w:t>
      </w:r>
      <w:r>
        <w:t xml:space="preserve">(5), e12934. </w:t>
      </w:r>
      <w:hyperlink r:id="rId66">
        <w:r>
          <w:rPr>
            <w:rStyle w:val="Hyperlink"/>
          </w:rPr>
          <w:t>https://doi.org/10.1111/desc.12934</w:t>
        </w:r>
      </w:hyperlink>
    </w:p>
    <w:p w14:paraId="27A93031" w14:textId="77777777" w:rsidR="002523DC" w:rsidRDefault="00000000">
      <w:pPr>
        <w:pStyle w:val="Bibliography"/>
      </w:pPr>
      <w:bookmarkStart w:id="80" w:name="ref-shields_2017"/>
      <w:bookmarkEnd w:id="79"/>
      <w:r>
        <w:t xml:space="preserve">Shields, G. S., Doty, D., Shields, R. H., Gower, G., Slavich, G. M., &amp; Yonelinas, A. P. (2017). Recent life stress exposure is associated with poorer long-term memory, working memory, and self-reported memory. </w:t>
      </w:r>
      <w:r>
        <w:rPr>
          <w:i/>
          <w:iCs/>
        </w:rPr>
        <w:t>Stress</w:t>
      </w:r>
      <w:r>
        <w:t xml:space="preserve">, </w:t>
      </w:r>
      <w:r>
        <w:rPr>
          <w:i/>
          <w:iCs/>
        </w:rPr>
        <w:t>20</w:t>
      </w:r>
      <w:r>
        <w:t xml:space="preserve">(6), 598–607. </w:t>
      </w:r>
      <w:hyperlink r:id="rId67">
        <w:r>
          <w:rPr>
            <w:rStyle w:val="Hyperlink"/>
          </w:rPr>
          <w:t>https://doi.org/10.1080/10253890.2017.1380620</w:t>
        </w:r>
      </w:hyperlink>
    </w:p>
    <w:p w14:paraId="20AA9B6C" w14:textId="77777777" w:rsidR="002523DC" w:rsidRDefault="00000000">
      <w:pPr>
        <w:pStyle w:val="Bibliography"/>
      </w:pPr>
      <w:bookmarkStart w:id="81" w:name="ref-shields_2019"/>
      <w:bookmarkEnd w:id="80"/>
      <w:r>
        <w:t xml:space="preserve">Shields, G. S., Ramey, M. M., Slavich, G. M., &amp; Yonelinas, A. P. (2019). Determining the mechanisms through which recent life stress predicts working memory impairments: Precision or capacity? </w:t>
      </w:r>
      <w:r>
        <w:rPr>
          <w:i/>
          <w:iCs/>
        </w:rPr>
        <w:t>Stress</w:t>
      </w:r>
      <w:r>
        <w:t xml:space="preserve">, </w:t>
      </w:r>
      <w:r>
        <w:rPr>
          <w:i/>
          <w:iCs/>
        </w:rPr>
        <w:t>22</w:t>
      </w:r>
      <w:r>
        <w:t xml:space="preserve">(2), 280–285. </w:t>
      </w:r>
      <w:hyperlink r:id="rId68">
        <w:r>
          <w:rPr>
            <w:rStyle w:val="Hyperlink"/>
          </w:rPr>
          <w:t>https://doi.org/10.1080/10253890.2018.1556635</w:t>
        </w:r>
      </w:hyperlink>
    </w:p>
    <w:p w14:paraId="4C194CFC" w14:textId="77777777" w:rsidR="002523DC" w:rsidRDefault="00000000">
      <w:pPr>
        <w:pStyle w:val="Bibliography"/>
      </w:pPr>
      <w:bookmarkStart w:id="82" w:name="ref-spiegel_2021"/>
      <w:bookmarkEnd w:id="81"/>
      <w:r>
        <w:lastRenderedPageBreak/>
        <w:t xml:space="preserve">Spiegel, J. A., Goodrich, J. M., Morris, B. M., Osborne, C. M., &amp; Lonigan, C. J. (2021). Relations between executive functions and academic outcomes in elementary school children: A meta-analysis. </w:t>
      </w:r>
      <w:r>
        <w:rPr>
          <w:i/>
          <w:iCs/>
        </w:rPr>
        <w:t>Psychological Bulletin</w:t>
      </w:r>
      <w:r>
        <w:t xml:space="preserve">, </w:t>
      </w:r>
      <w:r>
        <w:rPr>
          <w:i/>
          <w:iCs/>
        </w:rPr>
        <w:t>147</w:t>
      </w:r>
      <w:r>
        <w:t xml:space="preserve">(4), 329–351. </w:t>
      </w:r>
      <w:hyperlink r:id="rId69">
        <w:r>
          <w:rPr>
            <w:rStyle w:val="Hyperlink"/>
          </w:rPr>
          <w:t>https://doi.org/10.1037/bul0000322</w:t>
        </w:r>
      </w:hyperlink>
    </w:p>
    <w:p w14:paraId="01AB35B8" w14:textId="77777777" w:rsidR="002523DC" w:rsidRDefault="00000000">
      <w:pPr>
        <w:pStyle w:val="Bibliography"/>
      </w:pPr>
      <w:bookmarkStart w:id="83" w:name="ref-sweeten_2012"/>
      <w:bookmarkEnd w:id="82"/>
      <w:r>
        <w:t xml:space="preserve">Sweeten, G. (2012). Scaling criminal offending. </w:t>
      </w:r>
      <w:r>
        <w:rPr>
          <w:i/>
          <w:iCs/>
        </w:rPr>
        <w:t>Journal of Quantitative Criminology</w:t>
      </w:r>
      <w:r>
        <w:t xml:space="preserve">, </w:t>
      </w:r>
      <w:r>
        <w:rPr>
          <w:i/>
          <w:iCs/>
        </w:rPr>
        <w:t>28</w:t>
      </w:r>
      <w:r>
        <w:t xml:space="preserve">(3), 533–557. </w:t>
      </w:r>
      <w:hyperlink r:id="rId70">
        <w:r>
          <w:rPr>
            <w:rStyle w:val="Hyperlink"/>
          </w:rPr>
          <w:t>https://doi.org/10.1007/s10940-011-9160-8</w:t>
        </w:r>
      </w:hyperlink>
    </w:p>
    <w:p w14:paraId="203882FA" w14:textId="77777777" w:rsidR="002523DC" w:rsidRDefault="00000000">
      <w:pPr>
        <w:pStyle w:val="Bibliography"/>
      </w:pPr>
      <w:bookmarkStart w:id="84" w:name="ref-ugarte_2023"/>
      <w:bookmarkEnd w:id="83"/>
      <w:r>
        <w:t xml:space="preserve">Ugarte, E., &amp; Hastings, P. D. (2023). Assessing unpredictability in caregiver–child relationships: Insights from theoretical and empirical perspectives. </w:t>
      </w:r>
      <w:r>
        <w:rPr>
          <w:i/>
          <w:iCs/>
        </w:rPr>
        <w:t>Development and Psychopathology</w:t>
      </w:r>
      <w:r>
        <w:t xml:space="preserve">, 1–20. </w:t>
      </w:r>
      <w:hyperlink r:id="rId71">
        <w:r>
          <w:rPr>
            <w:rStyle w:val="Hyperlink"/>
          </w:rPr>
          <w:t>https://doi.org/10.1017/S0954579423000305</w:t>
        </w:r>
      </w:hyperlink>
    </w:p>
    <w:p w14:paraId="33056DF7" w14:textId="77777777" w:rsidR="002523DC" w:rsidRPr="00DF5653" w:rsidRDefault="00000000">
      <w:pPr>
        <w:pStyle w:val="Bibliography"/>
        <w:rPr>
          <w:lang w:val="nl-NL"/>
        </w:rPr>
      </w:pPr>
      <w:bookmarkStart w:id="85" w:name="ref-vermeent_2023"/>
      <w:bookmarkEnd w:id="84"/>
      <w:r>
        <w:t xml:space="preserve">Vermeent, S. (2023). </w:t>
      </w:r>
      <w:r>
        <w:rPr>
          <w:i/>
          <w:iCs/>
        </w:rPr>
        <w:t>Projectlog: Tools for documenting your project workflow</w:t>
      </w:r>
      <w:r>
        <w:t xml:space="preserve">. </w:t>
      </w:r>
      <w:hyperlink r:id="rId72">
        <w:r w:rsidRPr="00DF5653">
          <w:rPr>
            <w:rStyle w:val="Hyperlink"/>
            <w:lang w:val="nl-NL"/>
          </w:rPr>
          <w:t>https://stefanvermeent.github.io/projectlog/</w:t>
        </w:r>
      </w:hyperlink>
    </w:p>
    <w:p w14:paraId="72586F99" w14:textId="77777777" w:rsidR="002523DC" w:rsidRPr="00DF5653" w:rsidRDefault="00000000">
      <w:pPr>
        <w:pStyle w:val="Bibliography"/>
        <w:rPr>
          <w:lang w:val="nl-NL"/>
        </w:rPr>
      </w:pPr>
      <w:bookmarkStart w:id="86" w:name="ref-walasek_2023"/>
      <w:bookmarkEnd w:id="85"/>
      <w:r w:rsidRPr="00DF5653">
        <w:rPr>
          <w:lang w:val="nl-NL"/>
        </w:rPr>
        <w:t xml:space="preserve">Walasek, N., Young, E. S., &amp; Frankenhuis, W. E. (2023). </w:t>
      </w:r>
      <w:r>
        <w:rPr>
          <w:i/>
          <w:iCs/>
        </w:rPr>
        <w:t>A framework for studying environmental statistics in developmental science</w:t>
      </w:r>
      <w:r>
        <w:t xml:space="preserve">. </w:t>
      </w:r>
      <w:r w:rsidRPr="00DF5653">
        <w:rPr>
          <w:lang w:val="nl-NL"/>
        </w:rPr>
        <w:t xml:space="preserve">PsychArXiv. </w:t>
      </w:r>
      <w:hyperlink r:id="rId73">
        <w:r w:rsidRPr="00DF5653">
          <w:rPr>
            <w:rStyle w:val="Hyperlink"/>
            <w:lang w:val="nl-NL"/>
          </w:rPr>
          <w:t>https://doi.org/10.31234/osf.io/fr87n</w:t>
        </w:r>
      </w:hyperlink>
    </w:p>
    <w:p w14:paraId="45BE3CBD" w14:textId="77777777" w:rsidR="002523DC" w:rsidRPr="00DF5653" w:rsidRDefault="00000000">
      <w:pPr>
        <w:pStyle w:val="Bibliography"/>
        <w:rPr>
          <w:lang w:val="nl-NL"/>
        </w:rPr>
      </w:pPr>
      <w:bookmarkStart w:id="87" w:name="ref-wilhelm_2013"/>
      <w:bookmarkEnd w:id="86"/>
      <w:r w:rsidRPr="00DF5653">
        <w:rPr>
          <w:lang w:val="nl-NL"/>
        </w:rPr>
        <w:t xml:space="preserve">Wilhelm, O., Hildebrandt, A., &amp; Oberauer, K. (2013). </w:t>
      </w:r>
      <w:r>
        <w:t xml:space="preserve">What is working memory capacity, and how can we measure it? </w:t>
      </w:r>
      <w:r w:rsidRPr="00DF5653">
        <w:rPr>
          <w:i/>
          <w:iCs/>
          <w:lang w:val="nl-NL"/>
        </w:rPr>
        <w:t>Frontiers in Psychology</w:t>
      </w:r>
      <w:r w:rsidRPr="00DF5653">
        <w:rPr>
          <w:lang w:val="nl-NL"/>
        </w:rPr>
        <w:t xml:space="preserve">, </w:t>
      </w:r>
      <w:r w:rsidRPr="00DF5653">
        <w:rPr>
          <w:i/>
          <w:iCs/>
          <w:lang w:val="nl-NL"/>
        </w:rPr>
        <w:t>4</w:t>
      </w:r>
      <w:r w:rsidRPr="00DF5653">
        <w:rPr>
          <w:lang w:val="nl-NL"/>
        </w:rPr>
        <w:t xml:space="preserve">. </w:t>
      </w:r>
      <w:hyperlink r:id="rId74">
        <w:r w:rsidRPr="00DF5653">
          <w:rPr>
            <w:rStyle w:val="Hyperlink"/>
            <w:lang w:val="nl-NL"/>
          </w:rPr>
          <w:t>https://www.frontiersin.org/articles/10.3389/fpsyg.2013.00433</w:t>
        </w:r>
      </w:hyperlink>
    </w:p>
    <w:p w14:paraId="2E2CF7C0" w14:textId="77777777" w:rsidR="002523DC" w:rsidRDefault="00000000">
      <w:pPr>
        <w:pStyle w:val="Bibliography"/>
      </w:pPr>
      <w:bookmarkStart w:id="88" w:name="ref-young_2022"/>
      <w:bookmarkEnd w:id="87"/>
      <w:r w:rsidRPr="00DF5653">
        <w:rPr>
          <w:lang w:val="nl-NL"/>
        </w:rPr>
        <w:t xml:space="preserve">Young, E. S., Frankenhuis, W. E., DelPriore, D. J., &amp; Ellis, B. J. (2022). </w:t>
      </w:r>
      <w:r>
        <w:t xml:space="preserve">Hidden talents in context: Cognitive performance with abstract versus ecological stimuli among adversity-exposed youth. </w:t>
      </w:r>
      <w:r>
        <w:rPr>
          <w:i/>
          <w:iCs/>
        </w:rPr>
        <w:t>Child Development</w:t>
      </w:r>
      <w:r>
        <w:t xml:space="preserve">, 1493–1510. </w:t>
      </w:r>
      <w:hyperlink r:id="rId75">
        <w:r>
          <w:rPr>
            <w:rStyle w:val="Hyperlink"/>
          </w:rPr>
          <w:t>https://doi.org/10.1111/cdev.13766</w:t>
        </w:r>
      </w:hyperlink>
    </w:p>
    <w:p w14:paraId="0E295978" w14:textId="77777777" w:rsidR="002523DC" w:rsidRDefault="00000000">
      <w:pPr>
        <w:pStyle w:val="Bibliography"/>
      </w:pPr>
      <w:bookmarkStart w:id="89" w:name="ref-young_2020"/>
      <w:bookmarkEnd w:id="88"/>
      <w:r>
        <w:t xml:space="preserve">Young, E. S., Frankenhuis, W. E., &amp; Ellis, B. J. (2020). Theory and measurement of environmental unpredictability. </w:t>
      </w:r>
      <w:r>
        <w:rPr>
          <w:i/>
          <w:iCs/>
        </w:rPr>
        <w:t>Evolution and Human Behavior</w:t>
      </w:r>
      <w:r>
        <w:t xml:space="preserve">, </w:t>
      </w:r>
      <w:r>
        <w:rPr>
          <w:i/>
          <w:iCs/>
        </w:rPr>
        <w:t>41</w:t>
      </w:r>
      <w:r>
        <w:t xml:space="preserve">(6), 550–556. </w:t>
      </w:r>
      <w:hyperlink r:id="rId76">
        <w:r>
          <w:rPr>
            <w:rStyle w:val="Hyperlink"/>
          </w:rPr>
          <w:t>https://doi.org/10.1016/j.evolhumbehav.2020.08.006</w:t>
        </w:r>
      </w:hyperlink>
    </w:p>
    <w:p w14:paraId="635A0677" w14:textId="77777777" w:rsidR="002523DC" w:rsidRDefault="00000000">
      <w:pPr>
        <w:pStyle w:val="Bibliography"/>
      </w:pPr>
      <w:bookmarkStart w:id="90" w:name="ref-young_2018"/>
      <w:bookmarkEnd w:id="89"/>
      <w:r>
        <w:lastRenderedPageBreak/>
        <w:t xml:space="preserve">Young, E. S., Griskevicius, V., Simpson, J. A., &amp; Waters, T. E. A. (2018). Can an unpredictable childhood environment enhance working memory? Testing the sensitized-specialization hypothesis. </w:t>
      </w:r>
      <w:r>
        <w:rPr>
          <w:i/>
          <w:iCs/>
        </w:rPr>
        <w:t>Journal of Personality and Social Psychology</w:t>
      </w:r>
      <w:r>
        <w:t xml:space="preserve">, </w:t>
      </w:r>
      <w:r>
        <w:rPr>
          <w:i/>
          <w:iCs/>
        </w:rPr>
        <w:t>114</w:t>
      </w:r>
      <w:r>
        <w:t xml:space="preserve">(6), 891–908. </w:t>
      </w:r>
      <w:hyperlink r:id="rId77">
        <w:r>
          <w:rPr>
            <w:rStyle w:val="Hyperlink"/>
          </w:rPr>
          <w:t>https://doi.org/10.1037/pspi0000124</w:t>
        </w:r>
      </w:hyperlink>
    </w:p>
    <w:p w14:paraId="0FB6F413" w14:textId="77777777" w:rsidR="002523DC" w:rsidRDefault="00000000">
      <w:pPr>
        <w:pStyle w:val="Bibliography"/>
      </w:pPr>
      <w:bookmarkStart w:id="91" w:name="ref-young_2023"/>
      <w:bookmarkEnd w:id="90"/>
      <w:r>
        <w:t xml:space="preserve">Young, E. S., Vermeent, S., Frankenhuis, W. E., Nivison, M., Simpson, J. A., &amp; Roisman, G. I. (n.d.). </w:t>
      </w:r>
      <w:r>
        <w:rPr>
          <w:i/>
          <w:iCs/>
        </w:rPr>
        <w:t>How does adversity shape performance across different abilities in the same person?</w:t>
      </w:r>
    </w:p>
    <w:bookmarkEnd w:id="28"/>
    <w:bookmarkEnd w:id="30"/>
    <w:bookmarkEnd w:id="91"/>
    <w:p w14:paraId="78BE4581" w14:textId="3A280DFA" w:rsidR="002523DC" w:rsidRDefault="002523DC" w:rsidP="00F23ADA">
      <w:pPr>
        <w:ind w:firstLine="0"/>
      </w:pPr>
    </w:p>
    <w:sectPr w:rsidR="002523DC" w:rsidSect="00075E85">
      <w:headerReference w:type="even" r:id="rId78"/>
      <w:headerReference w:type="default" r:id="rId79"/>
      <w:headerReference w:type="first" r:id="rId8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2557" w14:textId="77777777" w:rsidR="00075E85" w:rsidRDefault="00075E85">
      <w:pPr>
        <w:spacing w:line="240" w:lineRule="auto"/>
      </w:pPr>
      <w:r>
        <w:separator/>
      </w:r>
    </w:p>
  </w:endnote>
  <w:endnote w:type="continuationSeparator" w:id="0">
    <w:p w14:paraId="72C9F3D2" w14:textId="77777777" w:rsidR="00075E85" w:rsidRDefault="00075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1721" w14:textId="77777777" w:rsidR="00075E85" w:rsidRDefault="00075E85">
      <w:r>
        <w:separator/>
      </w:r>
    </w:p>
  </w:footnote>
  <w:footnote w:type="continuationSeparator" w:id="0">
    <w:p w14:paraId="01F1B58F" w14:textId="77777777" w:rsidR="00075E85" w:rsidRDefault="00075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2C82E8EA" w14:textId="77777777" w:rsidR="00432D99" w:rsidRDefault="00000000"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E152D" w14:textId="77777777" w:rsidR="00432D99" w:rsidRDefault="00432D99"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4A9FE18D" w14:textId="77777777" w:rsidR="00432D99" w:rsidRPr="006275A3" w:rsidRDefault="00000000"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729CB18A" w14:textId="77777777" w:rsidR="00432D99" w:rsidRPr="006275A3" w:rsidRDefault="00000000" w:rsidP="00FC055A">
    <w:pPr>
      <w:pStyle w:val="Header"/>
      <w:ind w:right="360"/>
    </w:pPr>
    <w:r>
      <w:t>WORKING MEMORY IN ADVERSE ENVIRONMENTS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E506" w14:textId="77777777" w:rsidR="00432D99" w:rsidRDefault="00000000">
    <w:pPr>
      <w:pStyle w:val="Header"/>
    </w:pPr>
    <w:r>
      <w:t>RUNNING HEAD: Working memory in adverse environments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E209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C8D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AAB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E258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2A76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9E44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F095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7C5D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7C5D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E041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44221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842113">
    <w:abstractNumId w:val="17"/>
  </w:num>
  <w:num w:numId="2" w16cid:durableId="1360425787">
    <w:abstractNumId w:val="11"/>
  </w:num>
  <w:num w:numId="3" w16cid:durableId="1436246501">
    <w:abstractNumId w:val="15"/>
  </w:num>
  <w:num w:numId="4" w16cid:durableId="670302708">
    <w:abstractNumId w:val="14"/>
  </w:num>
  <w:num w:numId="5" w16cid:durableId="1646809364">
    <w:abstractNumId w:val="16"/>
  </w:num>
  <w:num w:numId="6" w16cid:durableId="1282884847">
    <w:abstractNumId w:val="12"/>
  </w:num>
  <w:num w:numId="7" w16cid:durableId="794643028">
    <w:abstractNumId w:val="19"/>
  </w:num>
  <w:num w:numId="8" w16cid:durableId="446121770">
    <w:abstractNumId w:val="18"/>
  </w:num>
  <w:num w:numId="9" w16cid:durableId="926885728">
    <w:abstractNumId w:val="13"/>
  </w:num>
  <w:num w:numId="10" w16cid:durableId="1040863026">
    <w:abstractNumId w:val="0"/>
  </w:num>
  <w:num w:numId="11" w16cid:durableId="185949724">
    <w:abstractNumId w:val="1"/>
  </w:num>
  <w:num w:numId="12" w16cid:durableId="1050809296">
    <w:abstractNumId w:val="2"/>
  </w:num>
  <w:num w:numId="13" w16cid:durableId="156460958">
    <w:abstractNumId w:val="3"/>
  </w:num>
  <w:num w:numId="14" w16cid:durableId="716246245">
    <w:abstractNumId w:val="8"/>
  </w:num>
  <w:num w:numId="15" w16cid:durableId="87385763">
    <w:abstractNumId w:val="4"/>
  </w:num>
  <w:num w:numId="16" w16cid:durableId="1874999975">
    <w:abstractNumId w:val="5"/>
  </w:num>
  <w:num w:numId="17" w16cid:durableId="1758476899">
    <w:abstractNumId w:val="6"/>
  </w:num>
  <w:num w:numId="18" w16cid:durableId="2072386416">
    <w:abstractNumId w:val="7"/>
  </w:num>
  <w:num w:numId="19" w16cid:durableId="508297783">
    <w:abstractNumId w:val="9"/>
  </w:num>
  <w:num w:numId="20" w16cid:durableId="4285507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DC"/>
    <w:rsid w:val="00075E85"/>
    <w:rsid w:val="001B0AAE"/>
    <w:rsid w:val="002523DC"/>
    <w:rsid w:val="00432D99"/>
    <w:rsid w:val="007C3467"/>
    <w:rsid w:val="00CE080D"/>
    <w:rsid w:val="00DF5653"/>
    <w:rsid w:val="00F23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F6BE"/>
  <w15:docId w15:val="{28259574-6E25-4761-89BF-D9421A66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51"/>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2B1938"/>
    <w:pPr>
      <w:keepNext/>
      <w:keepLines/>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B1938"/>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938"/>
    <w:pPr>
      <w:keepNext/>
      <w:keepLines/>
      <w:ind w:firstLine="0"/>
      <w:outlineLvl w:val="2"/>
    </w:pPr>
    <w:rPr>
      <w:rFonts w:eastAsiaTheme="majorEastAsia" w:cstheme="majorBidi"/>
      <w:b/>
      <w:i/>
      <w:color w:val="000000" w:themeColor="text1"/>
    </w:rPr>
  </w:style>
  <w:style w:type="paragraph" w:styleId="Heading4">
    <w:name w:val="heading 4"/>
    <w:basedOn w:val="Normal"/>
    <w:next w:val="authors"/>
    <w:link w:val="Heading4Char"/>
    <w:uiPriority w:val="9"/>
    <w:semiHidden/>
    <w:unhideWhenUsed/>
    <w:qFormat/>
    <w:rsid w:val="00611FCA"/>
    <w:pPr>
      <w:keepNext/>
      <w:keepLines/>
      <w:spacing w:before="40"/>
      <w:jc w:val="center"/>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193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2B193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2B1938"/>
    <w:rPr>
      <w:rFonts w:ascii="Times New Roman" w:eastAsiaTheme="majorEastAsia" w:hAnsi="Times New Roman" w:cstheme="majorBidi"/>
      <w:b/>
      <w:i/>
      <w:color w:val="000000" w:themeColor="text1"/>
    </w:rPr>
  </w:style>
  <w:style w:type="paragraph" w:styleId="Caption">
    <w:name w:val="caption"/>
    <w:basedOn w:val="Normal"/>
    <w:next w:val="Normal"/>
    <w:uiPriority w:val="35"/>
    <w:unhideWhenUsed/>
    <w:qFormat/>
    <w:rsid w:val="002C3FC2"/>
    <w:pPr>
      <w:spacing w:after="200"/>
      <w:ind w:firstLine="0"/>
    </w:pPr>
    <w:rPr>
      <w:b/>
      <w:iCs/>
      <w:color w:val="000000" w:themeColor="text1"/>
      <w:szCs w:val="18"/>
    </w:rPr>
  </w:style>
  <w:style w:type="paragraph" w:customStyle="1" w:styleId="ImageCaption">
    <w:name w:val="Image Caption"/>
    <w:basedOn w:val="Normal"/>
    <w:qFormat/>
    <w:rsid w:val="006314A4"/>
    <w:pPr>
      <w:spacing w:after="120" w:line="240" w:lineRule="auto"/>
      <w:ind w:firstLine="0"/>
    </w:pPr>
  </w:style>
  <w:style w:type="paragraph" w:customStyle="1" w:styleId="TableCaption">
    <w:name w:val="Table Caption"/>
    <w:basedOn w:val="Normal"/>
    <w:qFormat/>
    <w:rsid w:val="00BB0E4A"/>
    <w:pPr>
      <w:spacing w:line="240" w:lineRule="auto"/>
      <w:ind w:firstLine="0"/>
    </w:pPr>
    <w:rPr>
      <w:b/>
    </w:rPr>
  </w:style>
  <w:style w:type="paragraph" w:customStyle="1" w:styleId="Figure">
    <w:name w:val="Figure"/>
    <w:basedOn w:val="Normal"/>
    <w:qFormat/>
    <w:rsid w:val="0065679E"/>
    <w:pPr>
      <w:ind w:firstLine="0"/>
    </w:pPr>
  </w:style>
  <w:style w:type="character" w:customStyle="1" w:styleId="Heading4Char">
    <w:name w:val="Heading 4 Char"/>
    <w:basedOn w:val="DefaultParagraphFont"/>
    <w:link w:val="Heading4"/>
    <w:uiPriority w:val="9"/>
    <w:semiHidden/>
    <w:rsid w:val="00611FCA"/>
    <w:rPr>
      <w:rFonts w:ascii="Times New Roman" w:eastAsiaTheme="majorEastAsia" w:hAnsi="Times New Roman" w:cstheme="majorBidi"/>
      <w:iCs/>
      <w:color w:val="000000" w:themeColor="text1"/>
    </w:rPr>
  </w:style>
  <w:style w:type="paragraph" w:customStyle="1" w:styleId="authors">
    <w:name w:val="authors"/>
    <w:basedOn w:val="Heading4"/>
    <w:qFormat/>
    <w:rsid w:val="00611FCA"/>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7990/qn3k-as78" TargetMode="External"/><Relationship Id="rId18" Type="http://schemas.openxmlformats.org/officeDocument/2006/relationships/hyperlink" Target="https://doi.org/10.1016/j.jecp.2009.11.003" TargetMode="External"/><Relationship Id="rId26" Type="http://schemas.openxmlformats.org/officeDocument/2006/relationships/hyperlink" Target="https://doi.org/10.1080/10705510709336738" TargetMode="External"/><Relationship Id="rId39" Type="http://schemas.openxmlformats.org/officeDocument/2006/relationships/hyperlink" Target="https://doi.org/10.1080/09658211.2018.1561897" TargetMode="External"/><Relationship Id="rId21" Type="http://schemas.openxmlformats.org/officeDocument/2006/relationships/hyperlink" Target="https://www.scp.nl/publicaties/publicaties/2023/06/30/op-weg-naar-een-nieuwe-armoedegrens" TargetMode="External"/><Relationship Id="rId34" Type="http://schemas.openxmlformats.org/officeDocument/2006/relationships/hyperlink" Target="https://doi.org/10.1525/collabra.127" TargetMode="External"/><Relationship Id="rId42" Type="http://schemas.openxmlformats.org/officeDocument/2006/relationships/hyperlink" Target="https://doi.org/10.1038/nrn2897" TargetMode="External"/><Relationship Id="rId47" Type="http://schemas.openxmlformats.org/officeDocument/2006/relationships/hyperlink" Target="https://doi.org/10.1016/j.jrp.2019.03.007" TargetMode="External"/><Relationship Id="rId50" Type="http://schemas.openxmlformats.org/officeDocument/2006/relationships/hyperlink" Target="https://doi.org/10.1177/1745691621992346" TargetMode="External"/><Relationship Id="rId55" Type="http://schemas.openxmlformats.org/officeDocument/2006/relationships/hyperlink" Target="https://linkinghub.elsevier.com/retrieve/pii/S007974210951002X" TargetMode="External"/><Relationship Id="rId63" Type="http://schemas.openxmlformats.org/officeDocument/2006/relationships/hyperlink" Target="https://doi.org/10.1037/a0015730" TargetMode="External"/><Relationship Id="rId68" Type="http://schemas.openxmlformats.org/officeDocument/2006/relationships/hyperlink" Target="https://doi.org/10.1080/10253890.2018.1556635" TargetMode="External"/><Relationship Id="rId76" Type="http://schemas.openxmlformats.org/officeDocument/2006/relationships/hyperlink" Target="https://doi.org/10.1016/j.evolhumbehav.2020.08.006" TargetMode="External"/><Relationship Id="rId7" Type="http://schemas.openxmlformats.org/officeDocument/2006/relationships/endnotes" Target="endnotes.xml"/><Relationship Id="rId71" Type="http://schemas.openxmlformats.org/officeDocument/2006/relationships/hyperlink" Target="https://doi.org/10.1017/S0954579423000305"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oi.org/10.1177/1745691617693054" TargetMode="External"/><Relationship Id="rId11" Type="http://schemas.openxmlformats.org/officeDocument/2006/relationships/hyperlink" Target="https://doi.org/10.17026/dans-zch-j8xt" TargetMode="External"/><Relationship Id="rId24" Type="http://schemas.openxmlformats.org/officeDocument/2006/relationships/hyperlink" Target="https://doi.org/10.1016/j.tics.2003.10.005" TargetMode="External"/><Relationship Id="rId32" Type="http://schemas.openxmlformats.org/officeDocument/2006/relationships/hyperlink" Target="https://doi.org/10.1073/pnas.0811910106" TargetMode="External"/><Relationship Id="rId37" Type="http://schemas.openxmlformats.org/officeDocument/2006/relationships/hyperlink" Target="https://doi.org/10.1037/xge0001141" TargetMode="External"/><Relationship Id="rId40" Type="http://schemas.openxmlformats.org/officeDocument/2006/relationships/hyperlink" Target="https://doi.org/10.1016/j.emj.2017.07.001" TargetMode="External"/><Relationship Id="rId45" Type="http://schemas.openxmlformats.org/officeDocument/2006/relationships/hyperlink" Target="https://doi.org/10.1037/0278-7393.33.3.615" TargetMode="External"/><Relationship Id="rId53" Type="http://schemas.openxmlformats.org/officeDocument/2006/relationships/hyperlink" Target="https://doi.org/10.1111/jcpp.13241" TargetMode="External"/><Relationship Id="rId58" Type="http://schemas.openxmlformats.org/officeDocument/2006/relationships/hyperlink" Target="https://doi.org/10.1016/S0191-8869(99)00251-2" TargetMode="External"/><Relationship Id="rId66" Type="http://schemas.openxmlformats.org/officeDocument/2006/relationships/hyperlink" Target="https://doi.org/10.1111/desc.12934" TargetMode="External"/><Relationship Id="rId74" Type="http://schemas.openxmlformats.org/officeDocument/2006/relationships/hyperlink" Target="https://www.frontiersin.org/articles/10.3389/fpsyg.2013.00433" TargetMode="External"/><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oi.org/10.18637/jss.v048.i02" TargetMode="External"/><Relationship Id="rId82"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11/j.2517-6161.1995.tb02031.x" TargetMode="External"/><Relationship Id="rId31" Type="http://schemas.openxmlformats.org/officeDocument/2006/relationships/hyperlink" Target="https://doi.org/10.1017/S0954579421001838" TargetMode="External"/><Relationship Id="rId44" Type="http://schemas.openxmlformats.org/officeDocument/2006/relationships/hyperlink" Target="https://doi.org/10.1080/10705519909540118" TargetMode="External"/><Relationship Id="rId52" Type="http://schemas.openxmlformats.org/officeDocument/2006/relationships/hyperlink" Target="https://doi.org/10.1111/j.1467-7687.2007.00600.x" TargetMode="External"/><Relationship Id="rId60" Type="http://schemas.openxmlformats.org/officeDocument/2006/relationships/hyperlink" Target="https://doi.org/10.1177/0022219414521667" TargetMode="External"/><Relationship Id="rId65" Type="http://schemas.openxmlformats.org/officeDocument/2006/relationships/hyperlink" Target="https://doi.org/10.1126/sciadv.abn4316" TargetMode="External"/><Relationship Id="rId73" Type="http://schemas.openxmlformats.org/officeDocument/2006/relationships/hyperlink" Target="https://doi.org/10.31234/osf.io/fr87n" TargetMode="External"/><Relationship Id="rId78" Type="http://schemas.openxmlformats.org/officeDocument/2006/relationships/header" Target="head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tements.centerdata.nl" TargetMode="External"/><Relationship Id="rId14" Type="http://schemas.openxmlformats.org/officeDocument/2006/relationships/hyperlink" Target="https://doi.org/10.57990/1gr4-bf42" TargetMode="External"/><Relationship Id="rId22" Type="http://schemas.openxmlformats.org/officeDocument/2006/relationships/hyperlink" Target="https://doi.org/10.3758/BF03211570" TargetMode="External"/><Relationship Id="rId27" Type="http://schemas.openxmlformats.org/officeDocument/2006/relationships/hyperlink" Target="https://doi.org/10.1016/j.dcn.2016.11.006" TargetMode="External"/><Relationship Id="rId30" Type="http://schemas.openxmlformats.org/officeDocument/2006/relationships/hyperlink" Target="https://doi.org/10.1007/s12110-009-9063-7" TargetMode="External"/><Relationship Id="rId35" Type="http://schemas.openxmlformats.org/officeDocument/2006/relationships/hyperlink" Target="https://doi.org/10.1177/0963721413484324" TargetMode="External"/><Relationship Id="rId43" Type="http://schemas.openxmlformats.org/officeDocument/2006/relationships/hyperlink" Target="https://doi.org/10.1523/JNEUROSCI.0307-12.2012" TargetMode="External"/><Relationship Id="rId48" Type="http://schemas.openxmlformats.org/officeDocument/2006/relationships/hyperlink" Target="https://doi.org/10.1037/dev0000601" TargetMode="External"/><Relationship Id="rId56" Type="http://schemas.openxmlformats.org/officeDocument/2006/relationships/hyperlink" Target="https://doi.org/10.5334/joc.86" TargetMode="External"/><Relationship Id="rId64" Type="http://schemas.openxmlformats.org/officeDocument/2006/relationships/hyperlink" Target="https://doi.org/10.1016/j.tics.2014.09.001" TargetMode="External"/><Relationship Id="rId69" Type="http://schemas.openxmlformats.org/officeDocument/2006/relationships/hyperlink" Target="https://doi.org/10.1037/bul0000322" TargetMode="External"/><Relationship Id="rId77" Type="http://schemas.openxmlformats.org/officeDocument/2006/relationships/hyperlink" Target="https://doi.org/10.1037/pspi0000124" TargetMode="External"/><Relationship Id="rId8" Type="http://schemas.openxmlformats.org/officeDocument/2006/relationships/hyperlink" Target="https://stefanvermeent.github.io/liss_wm_profiles_2023/" TargetMode="External"/><Relationship Id="rId51" Type="http://schemas.openxmlformats.org/officeDocument/2006/relationships/hyperlink" Target="https://doi.org/10.2466/PMS.102.3.819-835" TargetMode="External"/><Relationship Id="rId72" Type="http://schemas.openxmlformats.org/officeDocument/2006/relationships/hyperlink" Target="https://stefanvermeent.github.io/projectlog/" TargetMode="External"/><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doi.org/10.57990/1gr4-bf42" TargetMode="External"/><Relationship Id="rId17" Type="http://schemas.openxmlformats.org/officeDocument/2006/relationships/hyperlink" Target="https://doi.org/10.1037/edu0000296" TargetMode="External"/><Relationship Id="rId25" Type="http://schemas.openxmlformats.org/officeDocument/2006/relationships/hyperlink" Target="https://doi.org/10.1007/s10648-013-9246-y" TargetMode="External"/><Relationship Id="rId33" Type="http://schemas.openxmlformats.org/officeDocument/2006/relationships/hyperlink" Target="https://doi.org/10.1016/j.brainres.2006.06.072" TargetMode="External"/><Relationship Id="rId38" Type="http://schemas.openxmlformats.org/officeDocument/2006/relationships/hyperlink" Target="https://doi.org/10.1016/j.actpsy.2021.103398" TargetMode="External"/><Relationship Id="rId46" Type="http://schemas.openxmlformats.org/officeDocument/2006/relationships/hyperlink" Target="https://doi.org/10.1002/acp.727" TargetMode="External"/><Relationship Id="rId59" Type="http://schemas.openxmlformats.org/officeDocument/2006/relationships/hyperlink" Target="https://doi.org/10.18637/jss.v057.i01" TargetMode="External"/><Relationship Id="rId67" Type="http://schemas.openxmlformats.org/officeDocument/2006/relationships/hyperlink" Target="https://doi.org/10.1080/10253890.2017.1380620" TargetMode="External"/><Relationship Id="rId20" Type="http://schemas.openxmlformats.org/officeDocument/2006/relationships/hyperlink" Target="https://doi.org/10.3389/neuro.08.016.2009" TargetMode="External"/><Relationship Id="rId41" Type="http://schemas.openxmlformats.org/officeDocument/2006/relationships/hyperlink" Target="https://doi.org/10.1155/2020/7153972" TargetMode="External"/><Relationship Id="rId54" Type="http://schemas.openxmlformats.org/officeDocument/2006/relationships/hyperlink" Target="https://doi.org/10.1037/0096-3445.134.3.368" TargetMode="External"/><Relationship Id="rId62" Type="http://schemas.openxmlformats.org/officeDocument/2006/relationships/hyperlink" Target="https://doi.org/10.1177/0759106310387713" TargetMode="External"/><Relationship Id="rId70" Type="http://schemas.openxmlformats.org/officeDocument/2006/relationships/hyperlink" Target="https://doi.org/10.1007/s10940-011-9160-8" TargetMode="External"/><Relationship Id="rId75" Type="http://schemas.openxmlformats.org/officeDocument/2006/relationships/hyperlink" Target="https://doi.org/10.1111/cdev.1376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efanvermeent.github.io/liss_wm_profiles_2023/materials/README.html" TargetMode="External"/><Relationship Id="rId23" Type="http://schemas.openxmlformats.org/officeDocument/2006/relationships/hyperlink" Target="https://doi.org/10.3758/BF03196772" TargetMode="External"/><Relationship Id="rId28" Type="http://schemas.openxmlformats.org/officeDocument/2006/relationships/hyperlink" Target="https://doi.org/10.1037/a0017891" TargetMode="External"/><Relationship Id="rId36" Type="http://schemas.openxmlformats.org/officeDocument/2006/relationships/hyperlink" Target="https://doi.org/10.1016/j.tics.2020.03.007" TargetMode="External"/><Relationship Id="rId49" Type="http://schemas.openxmlformats.org/officeDocument/2006/relationships/hyperlink" Target="https://doi.org/10.1177/0963721416655883" TargetMode="External"/><Relationship Id="rId57" Type="http://schemas.openxmlformats.org/officeDocument/2006/relationships/hyperlink" Target="https://doi.org/10.1037/bul0000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84B87-1887-4196-B248-EC2E9AF6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32</Pages>
  <Words>8568</Words>
  <Characters>48842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Vermeent, P.C.S. (Stefan)</cp:lastModifiedBy>
  <cp:revision>5</cp:revision>
  <dcterms:created xsi:type="dcterms:W3CDTF">2024-01-23T08:22:00Z</dcterms:created>
  <dcterms:modified xsi:type="dcterms:W3CDTF">2024-01-23T09:43:00Z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manuscript</vt:lpwstr>
  </property>
  <property fmtid="{D5CDD505-2E9C-101B-9397-08002B2CF9AE}" pid="11" name="toc-title">
    <vt:lpwstr>Table of contents</vt:lpwstr>
  </property>
</Properties>
</file>