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791B" w14:textId="3D99A772" w:rsidR="00A61401" w:rsidRPr="00E6539A" w:rsidRDefault="00E81780" w:rsidP="005776C2">
      <w:pPr>
        <w:jc w:val="center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b/>
          <w:bCs/>
          <w:sz w:val="56"/>
          <w:szCs w:val="56"/>
          <w:lang w:val="en-GB"/>
        </w:rPr>
        <w:t>Exercise: Constructing a multiverse</w:t>
      </w:r>
    </w:p>
    <w:p w14:paraId="02F56002" w14:textId="77777777" w:rsidR="005776C2" w:rsidRPr="00E6539A" w:rsidRDefault="005776C2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3024C64D" w14:textId="77777777" w:rsidR="005776C2" w:rsidRDefault="005776C2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360B0CE0" w14:textId="77777777" w:rsidR="00704FD1" w:rsidRDefault="00704FD1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65E7027C" w14:textId="77777777" w:rsidR="00704FD1" w:rsidRDefault="00704FD1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2D359939" w14:textId="77777777" w:rsidR="00704FD1" w:rsidRPr="00E6539A" w:rsidRDefault="00704FD1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3C6325C8" w14:textId="77777777" w:rsidR="005776C2" w:rsidRPr="00E6539A" w:rsidRDefault="005776C2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0B42997A" w14:textId="65FA65A4" w:rsidR="005776C2" w:rsidRPr="00E6539A" w:rsidRDefault="005776C2" w:rsidP="005776C2">
      <w:pPr>
        <w:jc w:val="center"/>
        <w:rPr>
          <w:rFonts w:ascii="Verdana" w:hAnsi="Verdana"/>
          <w:sz w:val="24"/>
          <w:szCs w:val="24"/>
          <w:lang w:val="en-GB"/>
        </w:rPr>
      </w:pPr>
      <w:r w:rsidRPr="00E6539A">
        <w:rPr>
          <w:rFonts w:ascii="Verdana" w:hAnsi="Verdana"/>
          <w:sz w:val="24"/>
          <w:szCs w:val="24"/>
          <w:lang w:val="en-GB"/>
        </w:rPr>
        <w:t>Stefan Vermeent</w:t>
      </w:r>
    </w:p>
    <w:p w14:paraId="7495BC3F" w14:textId="5FC9BB81" w:rsidR="005776C2" w:rsidRPr="00E6539A" w:rsidRDefault="005157A1" w:rsidP="005776C2">
      <w:pPr>
        <w:jc w:val="center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Stanford March 2024</w:t>
      </w:r>
    </w:p>
    <w:p w14:paraId="6D04820D" w14:textId="2F81AAB0" w:rsidR="005776C2" w:rsidRPr="00E6539A" w:rsidRDefault="005776C2">
      <w:pPr>
        <w:rPr>
          <w:rFonts w:ascii="Verdana" w:hAnsi="Verdana"/>
          <w:sz w:val="24"/>
          <w:szCs w:val="24"/>
          <w:lang w:val="en-GB"/>
        </w:rPr>
      </w:pPr>
      <w:r w:rsidRPr="00E6539A">
        <w:rPr>
          <w:rFonts w:ascii="Verdana" w:hAnsi="Verdana"/>
          <w:sz w:val="24"/>
          <w:szCs w:val="24"/>
          <w:lang w:val="en-GB"/>
        </w:rPr>
        <w:br w:type="page"/>
      </w:r>
    </w:p>
    <w:p w14:paraId="2C91B6B4" w14:textId="57A210EB" w:rsidR="00ED0A31" w:rsidRPr="00B50637" w:rsidRDefault="00ED0A31" w:rsidP="00AE3ACA">
      <w:pPr>
        <w:spacing w:line="360" w:lineRule="auto"/>
        <w:rPr>
          <w:rFonts w:ascii="Verdana" w:hAnsi="Verdana"/>
          <w:lang w:val="en-GB"/>
        </w:rPr>
      </w:pPr>
      <w:r w:rsidRPr="00B50637">
        <w:rPr>
          <w:rFonts w:ascii="Verdana" w:hAnsi="Verdana"/>
          <w:lang w:val="en-GB"/>
        </w:rPr>
        <w:lastRenderedPageBreak/>
        <w:t>For this assignment,</w:t>
      </w:r>
      <w:r w:rsidR="00E5292C">
        <w:rPr>
          <w:rFonts w:ascii="Verdana" w:hAnsi="Verdana"/>
          <w:lang w:val="en-GB"/>
        </w:rPr>
        <w:t xml:space="preserve"> </w:t>
      </w:r>
      <w:r w:rsidR="00760B1C">
        <w:rPr>
          <w:rFonts w:ascii="Verdana" w:hAnsi="Verdana"/>
          <w:lang w:val="en-GB"/>
        </w:rPr>
        <w:t xml:space="preserve">choose </w:t>
      </w:r>
      <w:r w:rsidR="00EC2F88">
        <w:rPr>
          <w:rFonts w:ascii="Verdana" w:hAnsi="Verdana"/>
          <w:lang w:val="en-GB"/>
        </w:rPr>
        <w:t xml:space="preserve">one of your own empirical research projects. </w:t>
      </w:r>
      <w:r w:rsidR="000363C5">
        <w:rPr>
          <w:rFonts w:ascii="Verdana" w:hAnsi="Verdana"/>
          <w:lang w:val="en-GB"/>
        </w:rPr>
        <w:t>This could be</w:t>
      </w:r>
      <w:r w:rsidR="00EC2F88">
        <w:rPr>
          <w:rFonts w:ascii="Verdana" w:hAnsi="Verdana"/>
          <w:lang w:val="en-GB"/>
        </w:rPr>
        <w:t xml:space="preserve"> a </w:t>
      </w:r>
      <w:r w:rsidR="0017606F">
        <w:rPr>
          <w:rFonts w:ascii="Verdana" w:hAnsi="Verdana"/>
          <w:lang w:val="en-GB"/>
        </w:rPr>
        <w:t xml:space="preserve">current project </w:t>
      </w:r>
      <w:r w:rsidR="000363C5">
        <w:rPr>
          <w:rFonts w:ascii="Verdana" w:hAnsi="Verdana"/>
          <w:lang w:val="en-GB"/>
        </w:rPr>
        <w:t xml:space="preserve">(ideally </w:t>
      </w:r>
      <w:r w:rsidR="00670489">
        <w:rPr>
          <w:rFonts w:ascii="Verdana" w:hAnsi="Verdana"/>
          <w:lang w:val="en-GB"/>
        </w:rPr>
        <w:t>one for which you have either a preregistration or a Methods section written down)</w:t>
      </w:r>
      <w:r w:rsidR="00D102DF">
        <w:rPr>
          <w:rFonts w:ascii="Verdana" w:hAnsi="Verdana"/>
          <w:lang w:val="en-GB"/>
        </w:rPr>
        <w:t>, but it could also be a finished project.</w:t>
      </w:r>
      <w:r w:rsidRPr="00B50637">
        <w:rPr>
          <w:rFonts w:ascii="Verdana" w:hAnsi="Verdana"/>
          <w:lang w:val="en-GB"/>
        </w:rPr>
        <w:t xml:space="preserve"> The goal is to uncover the multiverse of arbitrary decisions</w:t>
      </w:r>
      <w:r w:rsidR="00D32FC4">
        <w:rPr>
          <w:rFonts w:ascii="Verdana" w:hAnsi="Verdana"/>
          <w:lang w:val="en-GB"/>
        </w:rPr>
        <w:t>. We will also</w:t>
      </w:r>
      <w:r w:rsidR="001062DA">
        <w:rPr>
          <w:rFonts w:ascii="Verdana" w:hAnsi="Verdana"/>
          <w:lang w:val="en-GB"/>
        </w:rPr>
        <w:t xml:space="preserve"> </w:t>
      </w:r>
      <w:r w:rsidRPr="00B50637">
        <w:rPr>
          <w:rFonts w:ascii="Verdana" w:hAnsi="Verdana"/>
          <w:lang w:val="en-GB"/>
        </w:rPr>
        <w:t>identif</w:t>
      </w:r>
      <w:r w:rsidR="001062DA">
        <w:rPr>
          <w:rFonts w:ascii="Verdana" w:hAnsi="Verdana"/>
          <w:lang w:val="en-GB"/>
        </w:rPr>
        <w:t>y</w:t>
      </w:r>
      <w:r w:rsidRPr="00B50637">
        <w:rPr>
          <w:rFonts w:ascii="Verdana" w:hAnsi="Verdana"/>
          <w:lang w:val="en-GB"/>
        </w:rPr>
        <w:t xml:space="preserve"> non-arbitrary decisions</w:t>
      </w:r>
      <w:r w:rsidR="00D32FC4">
        <w:rPr>
          <w:rFonts w:ascii="Verdana" w:hAnsi="Verdana"/>
          <w:lang w:val="en-GB"/>
        </w:rPr>
        <w:t xml:space="preserve"> </w:t>
      </w:r>
      <w:r w:rsidRPr="00B50637">
        <w:rPr>
          <w:rFonts w:ascii="Verdana" w:hAnsi="Verdana"/>
          <w:lang w:val="en-GB"/>
        </w:rPr>
        <w:t>better kept out of the multiverse.</w:t>
      </w:r>
    </w:p>
    <w:p w14:paraId="38E26CF1" w14:textId="77777777" w:rsidR="00ED0A31" w:rsidRPr="00B50637" w:rsidRDefault="00ED0A31" w:rsidP="00ED0A31">
      <w:pPr>
        <w:pStyle w:val="ListParagraph"/>
        <w:ind w:left="360"/>
        <w:rPr>
          <w:rFonts w:ascii="Verdana" w:hAnsi="Verdana"/>
          <w:lang w:val="en-GB"/>
        </w:rPr>
      </w:pPr>
    </w:p>
    <w:p w14:paraId="56B6A8C6" w14:textId="46D935E1" w:rsidR="00E6539A" w:rsidRPr="00B50637" w:rsidRDefault="00A516A3" w:rsidP="00AE3ACA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If the project consists of multiple studies, focus on one</w:t>
      </w:r>
      <w:r w:rsidR="00E6539A" w:rsidRPr="00B50637">
        <w:rPr>
          <w:rFonts w:ascii="Verdana" w:hAnsi="Verdana"/>
          <w:lang w:val="en-GB"/>
        </w:rPr>
        <w:t xml:space="preserve">. </w:t>
      </w:r>
      <w:r w:rsidR="005776C2" w:rsidRPr="00B50637">
        <w:rPr>
          <w:rFonts w:ascii="Verdana" w:hAnsi="Verdana"/>
          <w:lang w:val="en-GB"/>
        </w:rPr>
        <w:t xml:space="preserve">List </w:t>
      </w:r>
      <w:r w:rsidR="00395ACB">
        <w:rPr>
          <w:rFonts w:ascii="Verdana" w:hAnsi="Verdana"/>
          <w:lang w:val="en-GB"/>
        </w:rPr>
        <w:t>as many</w:t>
      </w:r>
      <w:r w:rsidR="005776C2" w:rsidRPr="00B50637">
        <w:rPr>
          <w:rFonts w:ascii="Verdana" w:hAnsi="Verdana"/>
          <w:lang w:val="en-GB"/>
        </w:rPr>
        <w:t xml:space="preserve"> decisions </w:t>
      </w:r>
      <w:r w:rsidR="00395ACB">
        <w:rPr>
          <w:rFonts w:ascii="Verdana" w:hAnsi="Verdana"/>
          <w:lang w:val="en-GB"/>
        </w:rPr>
        <w:t>necessary</w:t>
      </w:r>
      <w:r w:rsidR="00E6539A" w:rsidRPr="00B50637">
        <w:rPr>
          <w:rFonts w:ascii="Verdana" w:hAnsi="Verdana"/>
          <w:lang w:val="en-GB"/>
        </w:rPr>
        <w:t xml:space="preserve"> to prepare the raw data for the </w:t>
      </w:r>
      <w:r w:rsidR="00E6539A" w:rsidRPr="003E7BDB">
        <w:rPr>
          <w:rFonts w:ascii="Verdana" w:hAnsi="Verdana"/>
          <w:u w:val="single"/>
          <w:lang w:val="en-GB"/>
        </w:rPr>
        <w:t>main analysis</w:t>
      </w:r>
      <w:r w:rsidR="00E6539A" w:rsidRPr="00B50637">
        <w:rPr>
          <w:rFonts w:ascii="Verdana" w:hAnsi="Verdana"/>
          <w:lang w:val="en-GB"/>
        </w:rPr>
        <w:t xml:space="preserve"> (e.g., data exclusions, variable computation, </w:t>
      </w:r>
      <w:r w:rsidR="00B0404F">
        <w:rPr>
          <w:rFonts w:ascii="Verdana" w:hAnsi="Verdana"/>
          <w:lang w:val="en-GB"/>
        </w:rPr>
        <w:t>variables to include</w:t>
      </w:r>
      <w:r w:rsidR="00E6539A" w:rsidRPr="00B50637">
        <w:rPr>
          <w:rFonts w:ascii="Verdana" w:hAnsi="Verdana"/>
          <w:lang w:val="en-GB"/>
        </w:rPr>
        <w:t>, model specifications).</w:t>
      </w:r>
    </w:p>
    <w:p w14:paraId="77B0B9A0" w14:textId="00C39D5B" w:rsidR="00E6539A" w:rsidRPr="00B50637" w:rsidRDefault="002048AE" w:rsidP="00AE3ACA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/>
          <w:lang w:val="en-GB"/>
        </w:rPr>
      </w:pPr>
      <w:r w:rsidRPr="00B50637">
        <w:rPr>
          <w:rFonts w:ascii="Verdana" w:hAnsi="Verdana"/>
          <w:lang w:val="en-GB"/>
        </w:rPr>
        <w:t>List the type of decision</w:t>
      </w:r>
      <w:r w:rsidR="00A44FE8">
        <w:rPr>
          <w:rFonts w:ascii="Verdana" w:hAnsi="Verdana"/>
          <w:lang w:val="en-GB"/>
        </w:rPr>
        <w:t xml:space="preserve"> (see Box 1)</w:t>
      </w:r>
      <w:r w:rsidR="00B50637">
        <w:rPr>
          <w:rFonts w:ascii="Verdana" w:hAnsi="Verdana"/>
          <w:lang w:val="en-GB"/>
        </w:rPr>
        <w:t>.</w:t>
      </w:r>
    </w:p>
    <w:p w14:paraId="145F9FC1" w14:textId="328ACA8E" w:rsidR="00B50637" w:rsidRPr="00B50637" w:rsidRDefault="005776C2" w:rsidP="00AE3ACA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/>
          <w:lang w:val="en-GB"/>
        </w:rPr>
      </w:pPr>
      <w:r w:rsidRPr="00B50637">
        <w:rPr>
          <w:rFonts w:ascii="Verdana" w:hAnsi="Verdana"/>
          <w:lang w:val="en-GB"/>
        </w:rPr>
        <w:t xml:space="preserve">Determine whether each decision can be considered </w:t>
      </w:r>
      <w:r w:rsidRPr="00B50637">
        <w:rPr>
          <w:rFonts w:ascii="Verdana" w:hAnsi="Verdana"/>
          <w:b/>
          <w:bCs/>
          <w:lang w:val="en-GB"/>
        </w:rPr>
        <w:t>arbitrary</w:t>
      </w:r>
      <w:r w:rsidR="00876BD8">
        <w:rPr>
          <w:rFonts w:ascii="Verdana" w:hAnsi="Verdana"/>
          <w:b/>
          <w:bCs/>
          <w:lang w:val="en-GB"/>
        </w:rPr>
        <w:t>,</w:t>
      </w:r>
      <w:r w:rsidRPr="00B50637">
        <w:rPr>
          <w:rFonts w:ascii="Verdana" w:hAnsi="Verdana"/>
          <w:lang w:val="en-GB"/>
        </w:rPr>
        <w:t xml:space="preserve"> </w:t>
      </w:r>
      <w:r w:rsidRPr="00B50637">
        <w:rPr>
          <w:rFonts w:ascii="Verdana" w:hAnsi="Verdana"/>
          <w:b/>
          <w:bCs/>
          <w:lang w:val="en-GB"/>
        </w:rPr>
        <w:t>non-arbitrary</w:t>
      </w:r>
      <w:r w:rsidR="00876BD8">
        <w:rPr>
          <w:rFonts w:ascii="Verdana" w:hAnsi="Verdana"/>
          <w:lang w:val="en-GB"/>
        </w:rPr>
        <w:t xml:space="preserve">, or whether it is unclear </w:t>
      </w:r>
      <w:r w:rsidR="00A41BBB">
        <w:rPr>
          <w:rFonts w:ascii="Verdana" w:hAnsi="Verdana"/>
          <w:lang w:val="en-GB"/>
        </w:rPr>
        <w:t>if a decision is arbitrary or not.</w:t>
      </w:r>
    </w:p>
    <w:p w14:paraId="6439BAB4" w14:textId="45CCCF7A" w:rsidR="00B50637" w:rsidRPr="00B50637" w:rsidRDefault="00B50637" w:rsidP="00B5063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4101"/>
        <w:gridCol w:w="1101"/>
      </w:tblGrid>
      <w:tr w:rsidR="00B50637" w:rsidRPr="00E6539A" w14:paraId="2FD540B1" w14:textId="77777777" w:rsidTr="00A44FE8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807433" w14:textId="77777777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F68E22" w14:textId="77777777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Decision</w:t>
            </w:r>
          </w:p>
        </w:tc>
        <w:tc>
          <w:tcPr>
            <w:tcW w:w="4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B7A4BD" w14:textId="77777777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Type</w:t>
            </w:r>
          </w:p>
        </w:tc>
        <w:tc>
          <w:tcPr>
            <w:tcW w:w="1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7C034" w14:textId="708B6740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N-A</w:t>
            </w:r>
            <w:r w:rsidR="00A44FE8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, A,</w:t>
            </w: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 xml:space="preserve"> </w:t>
            </w:r>
            <w:proofErr w:type="gramStart"/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or ?</w:t>
            </w:r>
            <w:proofErr w:type="gramEnd"/>
          </w:p>
        </w:tc>
      </w:tr>
      <w:tr w:rsidR="00B50637" w14:paraId="3B357A03" w14:textId="77777777" w:rsidTr="00A44FE8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1F89D1" w14:textId="77777777" w:rsidR="00B50637" w:rsidRPr="00B50637" w:rsidRDefault="00B50637" w:rsidP="0009716D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2F1C50" w14:textId="3D8F41E7" w:rsidR="00B50637" w:rsidRPr="00B50637" w:rsidRDefault="00B50637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Remove outliers at &gt; 3.2 SD</w:t>
            </w:r>
          </w:p>
        </w:tc>
        <w:tc>
          <w:tcPr>
            <w:tcW w:w="4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5E0261" w14:textId="665878A4" w:rsidR="00B50637" w:rsidRPr="00B50637" w:rsidRDefault="00B50637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Changing the underlying data</w:t>
            </w:r>
          </w:p>
        </w:tc>
        <w:tc>
          <w:tcPr>
            <w:tcW w:w="1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8E0A7F" w14:textId="6B191D8B" w:rsidR="00B50637" w:rsidRPr="00B50637" w:rsidRDefault="00B50637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A</w:t>
            </w:r>
          </w:p>
        </w:tc>
      </w:tr>
    </w:tbl>
    <w:p w14:paraId="1EC159F6" w14:textId="3E6DC228" w:rsidR="002D0329" w:rsidRDefault="002D0329" w:rsidP="00B50637">
      <w:pPr>
        <w:rPr>
          <w:rFonts w:ascii="Verdana" w:hAnsi="Verdana"/>
          <w:lang w:val="en-GB"/>
        </w:rPr>
      </w:pPr>
      <w:r>
        <w:rPr>
          <w:rFonts w:ascii="Verdana" w:hAnsi="Verdan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515FB" wp14:editId="13BE42F0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5715000" cy="4991100"/>
                <wp:effectExtent l="0" t="0" r="19050" b="19050"/>
                <wp:wrapNone/>
                <wp:docPr id="20460041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99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AD1A0" w14:textId="3F14FAFE" w:rsidR="002C52A2" w:rsidRDefault="000A297A" w:rsidP="002C52A2">
                            <w:pPr>
                              <w:spacing w:after="0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Box 1. Different types of decisions</w:t>
                            </w:r>
                            <w:r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7616A2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We can broadly </w:t>
                            </w:r>
                            <w:r w:rsidR="00366C42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classify </w:t>
                            </w:r>
                            <w:r w:rsidR="00B1155C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analytic decisions into three types. </w:t>
                            </w:r>
                            <w:r w:rsidR="003134D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D3DF8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First, </w:t>
                            </w:r>
                            <w:r w:rsidR="009E2643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decisions may </w:t>
                            </w:r>
                            <w:r w:rsidR="00B94BCE"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change the underlying data</w:t>
                            </w:r>
                            <w:r w:rsidR="00B94BCE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. For example, we may include/exclude outliers, </w:t>
                            </w:r>
                            <w:r w:rsidR="007C034E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or include/exclude participants who missed a certain number of attention checks.</w:t>
                            </w:r>
                            <w:r w:rsidR="00907D21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134D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For these decisions, the question of whether </w:t>
                            </w:r>
                            <w:r w:rsidR="0086067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they are arbitrary or non-arbitrary depends on the </w:t>
                            </w:r>
                            <w:proofErr w:type="spellStart"/>
                            <w:r w:rsidR="0086067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extend</w:t>
                            </w:r>
                            <w:proofErr w:type="spellEnd"/>
                            <w:r w:rsidR="0086067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to which </w:t>
                            </w:r>
                            <w:r w:rsidR="00194C0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we expect them to </w:t>
                            </w:r>
                            <w:r w:rsidR="008F233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influence the quality of our data.</w:t>
                            </w:r>
                            <w:r w:rsidR="00D814BF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For example, are</w:t>
                            </w:r>
                            <w:r w:rsidR="00E8739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93E1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the </w:t>
                            </w:r>
                            <w:r w:rsidR="00E8739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outlier values plausible in the target population, </w:t>
                            </w:r>
                            <w:r w:rsidR="0056131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or are they likely to indicate invalid responses?</w:t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7C034E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Second, decisions may </w:t>
                            </w:r>
                            <w:r w:rsidR="007C034E"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change </w:t>
                            </w:r>
                            <w:r w:rsidR="00BF538C"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variables</w:t>
                            </w:r>
                            <w:r w:rsidR="00BF538C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included in the mode</w:t>
                            </w:r>
                            <w:r w:rsidR="005B608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l. For example, </w:t>
                            </w:r>
                            <w:r w:rsidR="001726C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the study might include two or more questionnaires</w:t>
                            </w:r>
                            <w:r w:rsidR="005B608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726C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that aim to </w:t>
                            </w:r>
                            <w:r w:rsidR="005B608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meas</w:t>
                            </w:r>
                            <w:r w:rsidR="001726C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ure</w:t>
                            </w:r>
                            <w:r w:rsidR="005B608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the same construct. </w:t>
                            </w:r>
                            <w:r w:rsidR="005A7A6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For these decisions, </w:t>
                            </w:r>
                            <w:r w:rsidR="00CF50F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it is important to consider if our theory</w:t>
                            </w:r>
                            <w:r w:rsidR="007F579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can</w:t>
                            </w:r>
                            <w:r w:rsidR="00CF50F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in any way distinguish between the </w:t>
                            </w:r>
                            <w:r w:rsidR="005C650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measures. </w:t>
                            </w:r>
                            <w:r w:rsidR="00400A7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Do they aim to tap the exact same construct, or do they possible tap different dimensions of the same construct?</w:t>
                            </w:r>
                            <w:r w:rsidR="00EF6E6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Can we reasonably assume that the reliabilities of the </w:t>
                            </w:r>
                            <w:r w:rsidR="00294B0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measures</w:t>
                            </w:r>
                            <w:r w:rsidR="007F579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are comparable?</w:t>
                            </w:r>
                            <w:r w:rsidR="003015D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F4287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If the measures do not tap the same construct, or if </w:t>
                            </w:r>
                            <w:r w:rsidR="00C4318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their reliability differs, the effect sizes in the multiverse are not comparable.</w:t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4D61C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Third, decisions may </w:t>
                            </w:r>
                            <w:r w:rsidR="004D61CD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change the causal model</w:t>
                            </w:r>
                            <w:r w:rsidR="004D61C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. For example, </w:t>
                            </w:r>
                            <w:r w:rsidR="00C4298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we may compare effect sizes in </w:t>
                            </w:r>
                            <w:r w:rsidR="00F1620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models including or excluding a particular covariate.</w:t>
                            </w:r>
                            <w:r w:rsidR="00250FE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It is generally discouraged to </w:t>
                            </w:r>
                            <w:r w:rsidR="00B33BB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add such decisions to the multiverse (Del Giudice et al., 2021; </w:t>
                            </w:r>
                            <w:proofErr w:type="spellStart"/>
                            <w:r w:rsidR="00B33BB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Simonsohn</w:t>
                            </w:r>
                            <w:proofErr w:type="spellEnd"/>
                            <w:r w:rsidR="00B33BB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et al., 2018; Rohrer, </w:t>
                            </w:r>
                            <w:r w:rsidR="00A36E86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2021).</w:t>
                            </w:r>
                            <w:r w:rsidR="00BD7E3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As noted by </w:t>
                            </w:r>
                            <w:proofErr w:type="spellStart"/>
                            <w:r w:rsidR="00BD7E3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Simonsohn</w:t>
                            </w:r>
                            <w:proofErr w:type="spellEnd"/>
                            <w:r w:rsidR="00BD7E3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et al</w:t>
                            </w:r>
                            <w:r w:rsidR="009E227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(2018), analyses </w:t>
                            </w:r>
                            <w:r w:rsidR="00AF3605" w:rsidRPr="0004558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“with and without a certain set of covariates are not different answers to the same question, they are different answers to different questions.” (</w:t>
                            </w:r>
                            <w:r w:rsidR="00045581" w:rsidRPr="0004558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p. 10)</w:t>
                            </w:r>
                            <w:r w:rsidR="009E227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 w:rsidRPr="002C52A2">
                              <w:rPr>
                                <w:rFonts w:ascii="Verdana" w:hAnsi="Verdana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  <w:t>Relevant reading:</w:t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Del Giudice, M., &amp; Gangestad, S. W. (2021). A Traveler’s Guide to the Multiverse: Promises, Pitfalls, and a</w:t>
                            </w:r>
                          </w:p>
                          <w:p w14:paraId="1E808ED7" w14:textId="77777777" w:rsidR="002C52A2" w:rsidRDefault="000A297A" w:rsidP="002C52A2">
                            <w:pPr>
                              <w:spacing w:after="0"/>
                              <w:ind w:firstLine="720"/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Framework for the Evaluation of Analytic Decisions. </w:t>
                            </w:r>
                            <w:r w:rsidRPr="000A297A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Advances in Methods and Practices in </w:t>
                            </w:r>
                          </w:p>
                          <w:p w14:paraId="1D75DAC8" w14:textId="35447671" w:rsidR="000A297A" w:rsidRDefault="000A297A" w:rsidP="002C52A2">
                            <w:pPr>
                              <w:spacing w:after="0"/>
                              <w:ind w:firstLine="72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A297A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Psychological Science</w:t>
                            </w: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hyperlink r:id="rId5" w:history="1">
                              <w:r w:rsidRPr="000A297A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https://doi.org/10.1177/2515245920954925</w:t>
                              </w:r>
                            </w:hyperlink>
                          </w:p>
                          <w:p w14:paraId="3138DA33" w14:textId="77777777" w:rsidR="00E22BDE" w:rsidRDefault="0041414D" w:rsidP="002C52A2">
                            <w:pPr>
                              <w:spacing w:after="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Rohrer, J. (2021).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>Mülltiverse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analysis. </w:t>
                            </w:r>
                            <w:r w:rsidR="00E22BDE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Retrieved from </w:t>
                            </w:r>
                          </w:p>
                          <w:p w14:paraId="75DF22FC" w14:textId="5006323D" w:rsidR="000A297A" w:rsidRDefault="00000000" w:rsidP="00E22BDE">
                            <w:pPr>
                              <w:spacing w:after="0"/>
                              <w:ind w:firstLine="72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hyperlink r:id="rId6" w:history="1">
                              <w:r w:rsidR="00E22BDE" w:rsidRPr="00E207A1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6"/>
                                  <w:lang w:val="en-GB"/>
                                </w:rPr>
                                <w:t>https://www.the100.ci/2021/03/07/mulltiverse-analysis/</w:t>
                              </w:r>
                            </w:hyperlink>
                          </w:p>
                          <w:p w14:paraId="32CCD54D" w14:textId="77777777" w:rsidR="00D82278" w:rsidRDefault="007D3EC8" w:rsidP="007D3EC8">
                            <w:pPr>
                              <w:spacing w:after="0"/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>Simonsohn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, U., Simmons, J.P., &amp; Nelson, L.D. (2020). Specification curve analysis.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Nature Human </w:t>
                            </w:r>
                          </w:p>
                          <w:p w14:paraId="7A092664" w14:textId="2D9B1DA4" w:rsidR="007D3EC8" w:rsidRDefault="007D3EC8" w:rsidP="00D82278">
                            <w:pPr>
                              <w:spacing w:after="0"/>
                              <w:ind w:firstLine="72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>Behaviour</w:t>
                            </w:r>
                            <w:r w:rsidR="00D82278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>, 4</w:t>
                            </w:r>
                            <w:r w:rsidR="00D8227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(11), 1208-1214. </w:t>
                            </w:r>
                            <w:hyperlink r:id="rId7" w:history="1">
                              <w:r w:rsidR="00D82278" w:rsidRPr="00E207A1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6"/>
                                  <w:lang w:val="en-GB"/>
                                </w:rPr>
                                <w:t>https://doi.org/10.1038/s41562-020-0912-z</w:t>
                              </w:r>
                            </w:hyperlink>
                          </w:p>
                          <w:p w14:paraId="6349A591" w14:textId="77777777" w:rsidR="00D82278" w:rsidRPr="00D82278" w:rsidRDefault="00D82278" w:rsidP="007D3EC8">
                            <w:pPr>
                              <w:spacing w:after="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E80D5EC" w14:textId="77777777" w:rsidR="000A297A" w:rsidRPr="000A297A" w:rsidRDefault="000A297A" w:rsidP="002C52A2">
                            <w:pPr>
                              <w:spacing w:after="0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8EA833" w14:textId="4D56F236" w:rsidR="008D15C4" w:rsidRPr="00045581" w:rsidRDefault="008D15C4" w:rsidP="000A297A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515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6.6pt;width:450pt;height:39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" fillcolor="#c5e0b3 [1305]" strokeweight=".5pt">
                <v:textbox>
                  <w:txbxContent>
                    <w:p w14:paraId="629AD1A0" w14:textId="3F14FAFE" w:rsidR="002C52A2" w:rsidRDefault="000A297A" w:rsidP="002C52A2">
                      <w:pPr>
                        <w:spacing w:after="0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Box </w:t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1</w:t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Different types of decisions</w:t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="007616A2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We can broadly </w:t>
                      </w:r>
                      <w:r w:rsidR="00366C42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classify </w:t>
                      </w:r>
                      <w:r w:rsidR="00B1155C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analytic decisions into three types. </w:t>
                      </w:r>
                      <w:r w:rsidR="003134D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ED3DF8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First, </w:t>
                      </w:r>
                      <w:r w:rsidR="009E2643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decisions may </w:t>
                      </w:r>
                      <w:r w:rsidR="00B94BCE"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change the underlying data</w:t>
                      </w:r>
                      <w:r w:rsidR="00B94BCE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. For example, we may include/exclude outliers, </w:t>
                      </w:r>
                      <w:r w:rsidR="007C034E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or include/exclude participants who missed a certain number of attention checks.</w:t>
                      </w:r>
                      <w:r w:rsidR="00907D21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134D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For these decisions, the question of whether </w:t>
                      </w:r>
                      <w:r w:rsidR="0086067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they are arbitrary or non-arbitrary depends on the extend to which </w:t>
                      </w:r>
                      <w:r w:rsidR="00194C0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we expect them to </w:t>
                      </w:r>
                      <w:r w:rsidR="008F233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influence the quality of our data.</w:t>
                      </w:r>
                      <w:r w:rsidR="00D814BF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For example, are</w:t>
                      </w:r>
                      <w:r w:rsidR="00E8739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E93E1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the </w:t>
                      </w:r>
                      <w:r w:rsidR="00E8739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outlier values plausible in the target population, </w:t>
                      </w:r>
                      <w:r w:rsidR="0056131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or are they likely to indicate invalid responses?</w:t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7C034E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Second, decisions may </w:t>
                      </w:r>
                      <w:r w:rsidR="007C034E"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change </w:t>
                      </w:r>
                      <w:r w:rsidR="00BF538C"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variables</w:t>
                      </w:r>
                      <w:r w:rsidR="00BF538C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included in the mode</w:t>
                      </w:r>
                      <w:r w:rsidR="005B608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l. For example, </w:t>
                      </w:r>
                      <w:r w:rsidR="001726C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the study might include two or more questionnaires</w:t>
                      </w:r>
                      <w:r w:rsidR="005B608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726C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that aim to </w:t>
                      </w:r>
                      <w:r w:rsidR="005B608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meas</w:t>
                      </w:r>
                      <w:r w:rsidR="001726C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ure</w:t>
                      </w:r>
                      <w:r w:rsidR="005B608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the same construct. </w:t>
                      </w:r>
                      <w:r w:rsidR="005A7A6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For these decisions, </w:t>
                      </w:r>
                      <w:r w:rsidR="00CF50F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it is important to consider if our theory</w:t>
                      </w:r>
                      <w:r w:rsidR="007F579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can</w:t>
                      </w:r>
                      <w:r w:rsidR="00CF50F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in any way distinguish between the </w:t>
                      </w:r>
                      <w:r w:rsidR="005C650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measures. </w:t>
                      </w:r>
                      <w:r w:rsidR="00400A7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Do they aim to tap the exact same construct, or do they possible tap different dimensions of the same construct?</w:t>
                      </w:r>
                      <w:r w:rsidR="00EF6E6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Can we reasonably assume that the reliabilities of the </w:t>
                      </w:r>
                      <w:r w:rsidR="00294B0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measures</w:t>
                      </w:r>
                      <w:r w:rsidR="007F579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are comparable?</w:t>
                      </w:r>
                      <w:r w:rsidR="003015D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F4287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If the measures do not tap the same construct, or if </w:t>
                      </w:r>
                      <w:r w:rsidR="00C4318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their reliability differs, the effect sizes in the multiverse are not comparable.</w:t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4D61C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Third, decisions may </w:t>
                      </w:r>
                      <w:r w:rsidR="004D61CD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change the causal model</w:t>
                      </w:r>
                      <w:r w:rsidR="004D61C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. For example, </w:t>
                      </w:r>
                      <w:r w:rsidR="00C4298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we may compare effect sizes in </w:t>
                      </w:r>
                      <w:r w:rsidR="00F1620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models including or excluding a particular covariate.</w:t>
                      </w:r>
                      <w:r w:rsidR="00250FE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It is generally discouraged to </w:t>
                      </w:r>
                      <w:r w:rsidR="00B33BB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add such decisions to the multiverse (Del Giudice et al., 2021; </w:t>
                      </w:r>
                      <w:proofErr w:type="spellStart"/>
                      <w:r w:rsidR="00B33BB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Simonsohn</w:t>
                      </w:r>
                      <w:proofErr w:type="spellEnd"/>
                      <w:r w:rsidR="00B33BB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et al., 2018; Rohrer, </w:t>
                      </w:r>
                      <w:r w:rsidR="00A36E86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2021).</w:t>
                      </w:r>
                      <w:r w:rsidR="00BD7E3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As noted by </w:t>
                      </w:r>
                      <w:proofErr w:type="spellStart"/>
                      <w:r w:rsidR="00BD7E3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Simonsohn</w:t>
                      </w:r>
                      <w:proofErr w:type="spellEnd"/>
                      <w:r w:rsidR="00BD7E3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et al</w:t>
                      </w:r>
                      <w:r w:rsidR="009E227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(2018), analyses </w:t>
                      </w:r>
                      <w:r w:rsidR="00AF3605" w:rsidRPr="0004558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“with and without a certain set of covariates are not different answers to the same question, they are different answers to different questions.” (</w:t>
                      </w:r>
                      <w:r w:rsidR="00045581" w:rsidRPr="0004558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p. 10)</w:t>
                      </w:r>
                      <w:r w:rsidR="009E227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 w:rsidRPr="002C52A2">
                        <w:rPr>
                          <w:rFonts w:ascii="Verdana" w:hAnsi="Verdana"/>
                          <w:sz w:val="16"/>
                          <w:szCs w:val="16"/>
                          <w:u w:val="single"/>
                          <w:lang w:val="en-GB"/>
                        </w:rPr>
                        <w:t>Relevant reading:</w:t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Del Giudice, M., &amp; </w:t>
                      </w:r>
                      <w:proofErr w:type="spellStart"/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Gangestad</w:t>
                      </w:r>
                      <w:proofErr w:type="spellEnd"/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, S. W. (2021). A Traveler’s Guide to the Multiverse: Promises, Pitfalls, and a</w:t>
                      </w:r>
                    </w:p>
                    <w:p w14:paraId="1E808ED7" w14:textId="77777777" w:rsidR="002C52A2" w:rsidRDefault="000A297A" w:rsidP="002C52A2">
                      <w:pPr>
                        <w:spacing w:after="0"/>
                        <w:ind w:firstLine="720"/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Framework for the Evaluation of Analytic Decisions. </w:t>
                      </w:r>
                      <w:r w:rsidRPr="000A297A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Advances in Methods and Practices in </w:t>
                      </w:r>
                    </w:p>
                    <w:p w14:paraId="1D75DAC8" w14:textId="35447671" w:rsidR="000A297A" w:rsidRDefault="000A297A" w:rsidP="002C52A2">
                      <w:pPr>
                        <w:spacing w:after="0"/>
                        <w:ind w:firstLine="72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0A297A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>Psychological Science</w:t>
                      </w: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hyperlink r:id="rId12" w:history="1">
                        <w:r w:rsidRPr="000A297A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u w:val="none"/>
                            <w:lang w:val="en-US"/>
                          </w:rPr>
                          <w:t>https://doi.org/10.1177/2515245920954925</w:t>
                        </w:r>
                      </w:hyperlink>
                    </w:p>
                    <w:p w14:paraId="3138DA33" w14:textId="77777777" w:rsidR="00E22BDE" w:rsidRDefault="0041414D" w:rsidP="002C52A2">
                      <w:pPr>
                        <w:spacing w:after="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Rohrer, J. (2021). </w:t>
                      </w:r>
                      <w:proofErr w:type="spellStart"/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Mülltiverse</w:t>
                      </w:r>
                      <w:proofErr w:type="spellEnd"/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analysis. </w:t>
                      </w:r>
                      <w:r w:rsidR="00E22BDE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Retrieved from </w:t>
                      </w:r>
                    </w:p>
                    <w:p w14:paraId="75DF22FC" w14:textId="5006323D" w:rsidR="000A297A" w:rsidRDefault="00E22BDE" w:rsidP="00E22BDE">
                      <w:pPr>
                        <w:spacing w:after="0"/>
                        <w:ind w:firstLine="72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hyperlink r:id="rId13" w:history="1">
                        <w:r w:rsidRPr="00E207A1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lang w:val="en-GB"/>
                          </w:rPr>
                          <w:t>https://www.the100.ci/2021/03/07/mulltiverse-</w:t>
                        </w:r>
                        <w:r w:rsidRPr="00E207A1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lang w:val="en-GB"/>
                          </w:rPr>
                          <w:t>analysis/</w:t>
                        </w:r>
                      </w:hyperlink>
                    </w:p>
                    <w:p w14:paraId="32CCD54D" w14:textId="77777777" w:rsidR="00D82278" w:rsidRDefault="007D3EC8" w:rsidP="007D3EC8">
                      <w:pPr>
                        <w:spacing w:after="0"/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Simonsohn</w:t>
                      </w:r>
                      <w:proofErr w:type="spellEnd"/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, U., Simmons, J.P., &amp; Nelson, L.D. (2020). Specification curve analysis. </w:t>
                      </w:r>
                      <w:r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Nature Human </w:t>
                      </w:r>
                    </w:p>
                    <w:p w14:paraId="7A092664" w14:textId="2D9B1DA4" w:rsidR="007D3EC8" w:rsidRDefault="007D3EC8" w:rsidP="00D82278">
                      <w:pPr>
                        <w:spacing w:after="0"/>
                        <w:ind w:firstLine="72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GB"/>
                        </w:rPr>
                        <w:t>Behaviour</w:t>
                      </w:r>
                      <w:r w:rsidR="00D82278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GB"/>
                        </w:rPr>
                        <w:t>, 4</w:t>
                      </w:r>
                      <w:r w:rsidR="00D8227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(11), 1208-1214. </w:t>
                      </w:r>
                      <w:hyperlink r:id="rId14" w:history="1">
                        <w:r w:rsidR="00D82278" w:rsidRPr="00E207A1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lang w:val="en-GB"/>
                          </w:rPr>
                          <w:t>https://doi.org/</w:t>
                        </w:r>
                        <w:r w:rsidR="00D82278" w:rsidRPr="00E207A1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lang w:val="en-GB"/>
                          </w:rPr>
                          <w:t>10.1038/s41562-020-0912-z</w:t>
                        </w:r>
                      </w:hyperlink>
                    </w:p>
                    <w:p w14:paraId="6349A591" w14:textId="77777777" w:rsidR="00D82278" w:rsidRPr="00D82278" w:rsidRDefault="00D82278" w:rsidP="007D3EC8">
                      <w:pPr>
                        <w:spacing w:after="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</w:p>
                    <w:p w14:paraId="7E80D5EC" w14:textId="77777777" w:rsidR="000A297A" w:rsidRPr="000A297A" w:rsidRDefault="000A297A" w:rsidP="002C52A2">
                      <w:pPr>
                        <w:spacing w:after="0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</w:p>
                    <w:p w14:paraId="4C8EA833" w14:textId="4D56F236" w:rsidR="008D15C4" w:rsidRPr="00045581" w:rsidRDefault="008D15C4" w:rsidP="000A297A">
                      <w:pPr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39A" w:rsidRPr="00B50637">
        <w:rPr>
          <w:rFonts w:ascii="Verdana" w:hAnsi="Verdana"/>
          <w:b/>
          <w:bCs/>
          <w:lang w:val="en-GB"/>
        </w:rPr>
        <w:br/>
      </w:r>
    </w:p>
    <w:p w14:paraId="0C735182" w14:textId="1A2385B0" w:rsidR="00423EEF" w:rsidRPr="00B50637" w:rsidRDefault="002D0329" w:rsidP="00B5063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4101"/>
        <w:gridCol w:w="1101"/>
      </w:tblGrid>
      <w:tr w:rsidR="00E6539A" w:rsidRPr="00E6539A" w14:paraId="64E0F03A" w14:textId="472FF980" w:rsidTr="00876BD8">
        <w:tc>
          <w:tcPr>
            <w:tcW w:w="496" w:type="dxa"/>
          </w:tcPr>
          <w:p w14:paraId="7086DB63" w14:textId="4F6BBCEA" w:rsidR="00E6539A" w:rsidRPr="00E6539A" w:rsidRDefault="00E6539A" w:rsidP="00280380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</w:tcPr>
          <w:p w14:paraId="009B6792" w14:textId="733B3D10" w:rsidR="00E6539A" w:rsidRPr="00E6539A" w:rsidRDefault="00E6539A" w:rsidP="00280380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E6539A">
              <w:rPr>
                <w:rFonts w:ascii="Verdana" w:hAnsi="Verdana"/>
                <w:b/>
                <w:bCs/>
                <w:lang w:val="en-GB"/>
              </w:rPr>
              <w:t>Decision</w:t>
            </w:r>
          </w:p>
        </w:tc>
        <w:tc>
          <w:tcPr>
            <w:tcW w:w="4101" w:type="dxa"/>
          </w:tcPr>
          <w:p w14:paraId="3AD43C72" w14:textId="52F5F11C" w:rsidR="00E6539A" w:rsidRPr="00E6539A" w:rsidRDefault="00E6539A" w:rsidP="00280380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E6539A">
              <w:rPr>
                <w:rFonts w:ascii="Verdana" w:hAnsi="Verdana"/>
                <w:b/>
                <w:bCs/>
                <w:lang w:val="en-GB"/>
              </w:rPr>
              <w:t>Type</w:t>
            </w:r>
          </w:p>
        </w:tc>
        <w:tc>
          <w:tcPr>
            <w:tcW w:w="1101" w:type="dxa"/>
          </w:tcPr>
          <w:p w14:paraId="16838E80" w14:textId="03E88DAE" w:rsidR="00E6539A" w:rsidRPr="00E6539A" w:rsidRDefault="00E6539A" w:rsidP="00280380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E6539A">
              <w:rPr>
                <w:rFonts w:ascii="Verdana" w:hAnsi="Verdana"/>
                <w:b/>
                <w:bCs/>
                <w:lang w:val="en-GB"/>
              </w:rPr>
              <w:t>N-A</w:t>
            </w:r>
            <w:r w:rsidR="00876BD8">
              <w:rPr>
                <w:rFonts w:ascii="Verdana" w:hAnsi="Verdana"/>
                <w:b/>
                <w:bCs/>
                <w:lang w:val="en-GB"/>
              </w:rPr>
              <w:t>, A,</w:t>
            </w:r>
            <w:r w:rsidRPr="00E6539A">
              <w:rPr>
                <w:rFonts w:ascii="Verdana" w:hAnsi="Verdana"/>
                <w:b/>
                <w:bCs/>
                <w:lang w:val="en-GB"/>
              </w:rPr>
              <w:t xml:space="preserve"> </w:t>
            </w:r>
            <w:proofErr w:type="gramStart"/>
            <w:r w:rsidRPr="00E6539A">
              <w:rPr>
                <w:rFonts w:ascii="Verdana" w:hAnsi="Verdana"/>
                <w:b/>
                <w:bCs/>
                <w:lang w:val="en-GB"/>
              </w:rPr>
              <w:t>or ?</w:t>
            </w:r>
            <w:proofErr w:type="gramEnd"/>
          </w:p>
        </w:tc>
      </w:tr>
      <w:tr w:rsidR="00E6539A" w14:paraId="40E53C07" w14:textId="4FFE86A9" w:rsidTr="00876BD8">
        <w:tc>
          <w:tcPr>
            <w:tcW w:w="496" w:type="dxa"/>
          </w:tcPr>
          <w:p w14:paraId="246CD703" w14:textId="42A289C5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1</w:t>
            </w:r>
          </w:p>
        </w:tc>
        <w:tc>
          <w:tcPr>
            <w:tcW w:w="3318" w:type="dxa"/>
          </w:tcPr>
          <w:p w14:paraId="7A19C29E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C06287E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E81494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0D3CA8D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7280EA24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14D93DFA" w14:textId="56A364BB" w:rsidTr="00876BD8">
        <w:tc>
          <w:tcPr>
            <w:tcW w:w="496" w:type="dxa"/>
          </w:tcPr>
          <w:p w14:paraId="353CAF89" w14:textId="708C2740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2</w:t>
            </w:r>
          </w:p>
        </w:tc>
        <w:tc>
          <w:tcPr>
            <w:tcW w:w="3318" w:type="dxa"/>
          </w:tcPr>
          <w:p w14:paraId="0A950551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026AB9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426F02F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0E25AD88" w14:textId="631C9074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555C4B4D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09418D55" w14:textId="50C19BFE" w:rsidTr="00876BD8">
        <w:tc>
          <w:tcPr>
            <w:tcW w:w="496" w:type="dxa"/>
          </w:tcPr>
          <w:p w14:paraId="6D2B5FE2" w14:textId="4BCAB68A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3</w:t>
            </w:r>
          </w:p>
        </w:tc>
        <w:tc>
          <w:tcPr>
            <w:tcW w:w="3318" w:type="dxa"/>
          </w:tcPr>
          <w:p w14:paraId="300A4D5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B6E532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40A468E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60C32E64" w14:textId="1891EDC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2E8A4301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33006B0D" w14:textId="09394E24" w:rsidTr="00876BD8">
        <w:tc>
          <w:tcPr>
            <w:tcW w:w="496" w:type="dxa"/>
          </w:tcPr>
          <w:p w14:paraId="32D79DE4" w14:textId="3AC9A260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4</w:t>
            </w:r>
          </w:p>
        </w:tc>
        <w:tc>
          <w:tcPr>
            <w:tcW w:w="3318" w:type="dxa"/>
          </w:tcPr>
          <w:p w14:paraId="14658DB7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098D32F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14D10D85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7A965A60" w14:textId="09117C28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76776735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411E9591" w14:textId="5DBF5BEE" w:rsidTr="00876BD8">
        <w:tc>
          <w:tcPr>
            <w:tcW w:w="496" w:type="dxa"/>
          </w:tcPr>
          <w:p w14:paraId="3217B35B" w14:textId="64671956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5</w:t>
            </w:r>
          </w:p>
        </w:tc>
        <w:tc>
          <w:tcPr>
            <w:tcW w:w="3318" w:type="dxa"/>
          </w:tcPr>
          <w:p w14:paraId="1CE0246E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CF3E3E3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2487789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6AA97838" w14:textId="12C4958D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1136A716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34AEB797" w14:textId="78B4A080" w:rsidTr="00876BD8">
        <w:tc>
          <w:tcPr>
            <w:tcW w:w="496" w:type="dxa"/>
          </w:tcPr>
          <w:p w14:paraId="4D5CAA80" w14:textId="6243D7A0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6</w:t>
            </w:r>
          </w:p>
        </w:tc>
        <w:tc>
          <w:tcPr>
            <w:tcW w:w="3318" w:type="dxa"/>
          </w:tcPr>
          <w:p w14:paraId="4CDA4A81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79D3DB5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705CDA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7F898504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447E4077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3F0958BE" w14:textId="3A7BF9B6" w:rsidTr="00876BD8">
        <w:tc>
          <w:tcPr>
            <w:tcW w:w="496" w:type="dxa"/>
          </w:tcPr>
          <w:p w14:paraId="2DC5D986" w14:textId="5FB3F7BB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7</w:t>
            </w:r>
          </w:p>
        </w:tc>
        <w:tc>
          <w:tcPr>
            <w:tcW w:w="3318" w:type="dxa"/>
          </w:tcPr>
          <w:p w14:paraId="7464A78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8B8AE70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1A36AFF7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58A0DB96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412784D9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1A14BEF2" w14:textId="2420487C" w:rsidTr="00876BD8">
        <w:tc>
          <w:tcPr>
            <w:tcW w:w="496" w:type="dxa"/>
          </w:tcPr>
          <w:p w14:paraId="27AE85E8" w14:textId="16339C46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8</w:t>
            </w:r>
          </w:p>
          <w:p w14:paraId="0F287C30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  <w:p w14:paraId="7939E9F4" w14:textId="715CE06F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3DD11B65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723CA73B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058973C0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236859A2" w14:textId="052A30CB" w:rsidTr="00876BD8">
        <w:tc>
          <w:tcPr>
            <w:tcW w:w="496" w:type="dxa"/>
          </w:tcPr>
          <w:p w14:paraId="28C9F846" w14:textId="7696FC5F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9</w:t>
            </w:r>
          </w:p>
          <w:p w14:paraId="14B2C714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  <w:p w14:paraId="0E9AD332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64A4DABC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3E5F01A0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3E9E9D6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236A7497" w14:textId="660896EF" w:rsidTr="00876BD8">
        <w:tc>
          <w:tcPr>
            <w:tcW w:w="496" w:type="dxa"/>
          </w:tcPr>
          <w:p w14:paraId="1195395B" w14:textId="7D2FF58F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10</w:t>
            </w:r>
          </w:p>
          <w:p w14:paraId="60169183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  <w:p w14:paraId="1E2AB6EC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67B84636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493970E9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4259E3F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29342F6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17334A43" w14:textId="77777777" w:rsidTr="00876BD8">
        <w:tc>
          <w:tcPr>
            <w:tcW w:w="496" w:type="dxa"/>
          </w:tcPr>
          <w:p w14:paraId="0FCD2E90" w14:textId="075082FA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11</w:t>
            </w:r>
          </w:p>
        </w:tc>
        <w:tc>
          <w:tcPr>
            <w:tcW w:w="3318" w:type="dxa"/>
          </w:tcPr>
          <w:p w14:paraId="6569BAC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65541D5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D7FFB77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41DEE410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1EE01FDE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3B0C8B69" w14:textId="77777777" w:rsidTr="00876BD8">
        <w:tc>
          <w:tcPr>
            <w:tcW w:w="496" w:type="dxa"/>
          </w:tcPr>
          <w:p w14:paraId="67A5FCBB" w14:textId="18B260D2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12</w:t>
            </w:r>
          </w:p>
        </w:tc>
        <w:tc>
          <w:tcPr>
            <w:tcW w:w="3318" w:type="dxa"/>
          </w:tcPr>
          <w:p w14:paraId="587290C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A40057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65DD6D92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7AC1597F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669346B5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4DB3B54B" w14:textId="77777777" w:rsidTr="00876BD8">
        <w:tc>
          <w:tcPr>
            <w:tcW w:w="496" w:type="dxa"/>
          </w:tcPr>
          <w:p w14:paraId="4272D3E5" w14:textId="409E8C2E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13</w:t>
            </w:r>
          </w:p>
        </w:tc>
        <w:tc>
          <w:tcPr>
            <w:tcW w:w="3318" w:type="dxa"/>
          </w:tcPr>
          <w:p w14:paraId="70717168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0A90768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A37C01F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57D24D7C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39F3814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390B4D15" w14:textId="77777777" w:rsidTr="00876BD8">
        <w:tc>
          <w:tcPr>
            <w:tcW w:w="496" w:type="dxa"/>
          </w:tcPr>
          <w:p w14:paraId="75DC8A12" w14:textId="2059E698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14</w:t>
            </w:r>
          </w:p>
        </w:tc>
        <w:tc>
          <w:tcPr>
            <w:tcW w:w="3318" w:type="dxa"/>
          </w:tcPr>
          <w:p w14:paraId="6846290E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6E661CE8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8A9B965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123A1E0D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5A9FA1B4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3240975B" w14:textId="77777777" w:rsidTr="00876BD8">
        <w:tc>
          <w:tcPr>
            <w:tcW w:w="496" w:type="dxa"/>
          </w:tcPr>
          <w:p w14:paraId="2B23AC60" w14:textId="19244AE5" w:rsidR="002D0329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15</w:t>
            </w:r>
          </w:p>
          <w:p w14:paraId="05807259" w14:textId="77777777" w:rsidR="002D0329" w:rsidRDefault="002D0329" w:rsidP="00423EEF">
            <w:pPr>
              <w:rPr>
                <w:rFonts w:ascii="Verdana" w:hAnsi="Verdana"/>
                <w:lang w:val="en-GB"/>
              </w:rPr>
            </w:pPr>
          </w:p>
          <w:p w14:paraId="0D4C4CBD" w14:textId="77777777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432893C0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06B90339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02BD465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4DA24F42" w14:textId="77777777" w:rsidR="002D0329" w:rsidRDefault="002D0329" w:rsidP="002D0329">
      <w:pPr>
        <w:rPr>
          <w:rFonts w:ascii="Verdana" w:hAnsi="Verdana"/>
          <w:lang w:val="en-GB"/>
        </w:rPr>
      </w:pPr>
    </w:p>
    <w:p w14:paraId="76803F52" w14:textId="676A664B" w:rsidR="00B50637" w:rsidRPr="002D0329" w:rsidRDefault="00E6539A" w:rsidP="00C21B0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  <w:lang w:val="en-GB"/>
        </w:rPr>
      </w:pPr>
      <w:r w:rsidRPr="002D0329">
        <w:rPr>
          <w:rFonts w:ascii="Verdana" w:hAnsi="Verdana"/>
          <w:lang w:val="en-GB"/>
        </w:rPr>
        <w:lastRenderedPageBreak/>
        <w:t xml:space="preserve">For each </w:t>
      </w:r>
      <w:r w:rsidRPr="008D211E">
        <w:rPr>
          <w:rFonts w:ascii="Verdana" w:hAnsi="Verdana"/>
          <w:b/>
          <w:bCs/>
          <w:lang w:val="en-GB"/>
        </w:rPr>
        <w:t>arbitrary decision</w:t>
      </w:r>
      <w:r w:rsidRPr="002D0329">
        <w:rPr>
          <w:rFonts w:ascii="Verdana" w:hAnsi="Verdana"/>
          <w:lang w:val="en-GB"/>
        </w:rPr>
        <w:t xml:space="preserve"> </w:t>
      </w:r>
      <w:r w:rsidR="00CE542B">
        <w:rPr>
          <w:rFonts w:ascii="Verdana" w:hAnsi="Verdana"/>
          <w:lang w:val="en-GB"/>
        </w:rPr>
        <w:t>and</w:t>
      </w:r>
      <w:r w:rsidR="00D534FE">
        <w:rPr>
          <w:rFonts w:ascii="Verdana" w:hAnsi="Verdana"/>
          <w:lang w:val="en-GB"/>
        </w:rPr>
        <w:t xml:space="preserve"> </w:t>
      </w:r>
      <w:proofErr w:type="gramStart"/>
      <w:r w:rsidR="00D534FE">
        <w:rPr>
          <w:rFonts w:ascii="Verdana" w:hAnsi="Verdana"/>
          <w:lang w:val="en-GB"/>
        </w:rPr>
        <w:t>decision</w:t>
      </w:r>
      <w:proofErr w:type="gramEnd"/>
      <w:r w:rsidR="00D534FE">
        <w:rPr>
          <w:rFonts w:ascii="Verdana" w:hAnsi="Verdana"/>
          <w:lang w:val="en-GB"/>
        </w:rPr>
        <w:t xml:space="preserve"> you are unsure about</w:t>
      </w:r>
      <w:r w:rsidRPr="002D0329">
        <w:rPr>
          <w:rFonts w:ascii="Verdana" w:hAnsi="Verdana"/>
          <w:lang w:val="en-GB"/>
        </w:rPr>
        <w:t>,</w:t>
      </w:r>
      <w:r w:rsidR="00CE542B">
        <w:rPr>
          <w:rFonts w:ascii="Verdana" w:hAnsi="Verdana"/>
          <w:lang w:val="en-GB"/>
        </w:rPr>
        <w:t xml:space="preserve"> listed above,</w:t>
      </w:r>
      <w:r w:rsidRPr="002D0329">
        <w:rPr>
          <w:rFonts w:ascii="Verdana" w:hAnsi="Verdana"/>
          <w:lang w:val="en-GB"/>
        </w:rPr>
        <w:t xml:space="preserve"> </w:t>
      </w:r>
      <w:r w:rsidR="00B50637" w:rsidRPr="002D0329">
        <w:rPr>
          <w:rFonts w:ascii="Verdana" w:hAnsi="Verdana"/>
          <w:lang w:val="en-GB"/>
        </w:rPr>
        <w:t xml:space="preserve">specify all </w:t>
      </w:r>
      <w:r w:rsidR="00965099">
        <w:rPr>
          <w:rFonts w:ascii="Verdana" w:hAnsi="Verdana"/>
          <w:lang w:val="en-GB"/>
        </w:rPr>
        <w:t xml:space="preserve">alternative decisions that may be considered </w:t>
      </w:r>
      <w:r w:rsidR="00B50637" w:rsidRPr="002D0329">
        <w:rPr>
          <w:rFonts w:ascii="Verdana" w:hAnsi="Verdana"/>
          <w:lang w:val="en-GB"/>
        </w:rPr>
        <w:t xml:space="preserve">equally </w:t>
      </w:r>
      <w:r w:rsidR="00965099">
        <w:rPr>
          <w:rFonts w:ascii="Verdana" w:hAnsi="Verdana"/>
          <w:lang w:val="en-GB"/>
        </w:rPr>
        <w:t>justifiable</w:t>
      </w:r>
      <w:r w:rsidR="00B50637" w:rsidRPr="002D0329">
        <w:rPr>
          <w:rFonts w:ascii="Verdana" w:hAnsi="Verdana"/>
          <w:lang w:val="en-GB"/>
        </w:rPr>
        <w:t>.</w:t>
      </w:r>
    </w:p>
    <w:p w14:paraId="45B163B9" w14:textId="4528EDA8" w:rsidR="009E2279" w:rsidRPr="00B50637" w:rsidRDefault="00B50637" w:rsidP="00B5063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4281"/>
        <w:gridCol w:w="921"/>
      </w:tblGrid>
      <w:tr w:rsidR="00B50637" w:rsidRPr="00E6539A" w14:paraId="2A3B6F8A" w14:textId="77777777" w:rsidTr="0009716D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E19234" w14:textId="77777777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B2C150" w14:textId="77777777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Decision</w:t>
            </w:r>
          </w:p>
        </w:tc>
        <w:tc>
          <w:tcPr>
            <w:tcW w:w="42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AEED89" w14:textId="50E1356A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Alternatives</w:t>
            </w:r>
          </w:p>
        </w:tc>
        <w:tc>
          <w:tcPr>
            <w:tcW w:w="9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DB6194" w14:textId="0A433B8A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#</w:t>
            </w:r>
          </w:p>
        </w:tc>
      </w:tr>
      <w:tr w:rsidR="00B50637" w14:paraId="05DA0DE5" w14:textId="77777777" w:rsidTr="0009716D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32D5E0" w14:textId="77777777" w:rsidR="00B50637" w:rsidRPr="00B50637" w:rsidRDefault="00B50637" w:rsidP="0009716D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3DCEC" w14:textId="2BAB1F55" w:rsidR="00B50637" w:rsidRPr="00B50637" w:rsidRDefault="00B50637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Exclude</w:t>
            </w: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 xml:space="preserve"> outliers at &gt; 3.2 SD</w:t>
            </w:r>
          </w:p>
        </w:tc>
        <w:tc>
          <w:tcPr>
            <w:tcW w:w="42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33FE3B" w14:textId="77777777" w:rsidR="00B50637" w:rsidRDefault="00B50637" w:rsidP="00B50637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 xml:space="preserve">Exclude at &gt; 3.2 </w:t>
            </w:r>
            <w:proofErr w:type="gramStart"/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SD</w:t>
            </w:r>
            <w:proofErr w:type="gramEnd"/>
          </w:p>
          <w:p w14:paraId="12AB33DD" w14:textId="77777777" w:rsidR="00B50637" w:rsidRDefault="00B50637" w:rsidP="00B50637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 xml:space="preserve">Exclude at &gt; 2.5 </w:t>
            </w:r>
            <w:proofErr w:type="gramStart"/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SD</w:t>
            </w:r>
            <w:proofErr w:type="gramEnd"/>
          </w:p>
          <w:p w14:paraId="287F2ED0" w14:textId="27303E52" w:rsidR="00B50637" w:rsidRPr="00B50637" w:rsidRDefault="00B50637" w:rsidP="00B50637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Include all outliers</w:t>
            </w:r>
          </w:p>
        </w:tc>
        <w:tc>
          <w:tcPr>
            <w:tcW w:w="9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33BCAD" w14:textId="058AC1BD" w:rsidR="00B50637" w:rsidRPr="00B50637" w:rsidRDefault="00E546B0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3</w:t>
            </w:r>
          </w:p>
        </w:tc>
      </w:tr>
    </w:tbl>
    <w:p w14:paraId="44832966" w14:textId="77777777" w:rsidR="00B50637" w:rsidRPr="002D0329" w:rsidRDefault="00B50637" w:rsidP="002D0329">
      <w:pPr>
        <w:rPr>
          <w:rFonts w:ascii="Verdana" w:hAnsi="Verdana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4281"/>
        <w:gridCol w:w="921"/>
      </w:tblGrid>
      <w:tr w:rsidR="00B50637" w:rsidRPr="00E6539A" w14:paraId="5AE99BDE" w14:textId="77777777" w:rsidTr="0009716D">
        <w:tc>
          <w:tcPr>
            <w:tcW w:w="496" w:type="dxa"/>
          </w:tcPr>
          <w:p w14:paraId="38C5205A" w14:textId="77777777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</w:tcPr>
          <w:p w14:paraId="7D76FF4C" w14:textId="77777777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E6539A">
              <w:rPr>
                <w:rFonts w:ascii="Verdana" w:hAnsi="Verdana"/>
                <w:b/>
                <w:bCs/>
                <w:lang w:val="en-GB"/>
              </w:rPr>
              <w:t>Decision</w:t>
            </w:r>
          </w:p>
        </w:tc>
        <w:tc>
          <w:tcPr>
            <w:tcW w:w="4281" w:type="dxa"/>
          </w:tcPr>
          <w:p w14:paraId="592D084F" w14:textId="3E33F698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>
              <w:rPr>
                <w:rFonts w:ascii="Verdana" w:hAnsi="Verdana"/>
                <w:b/>
                <w:bCs/>
                <w:lang w:val="en-GB"/>
              </w:rPr>
              <w:t>Alternatives</w:t>
            </w:r>
          </w:p>
        </w:tc>
        <w:tc>
          <w:tcPr>
            <w:tcW w:w="921" w:type="dxa"/>
          </w:tcPr>
          <w:p w14:paraId="2FA4A8B9" w14:textId="6ECCF561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>
              <w:rPr>
                <w:rFonts w:ascii="Verdana" w:hAnsi="Verdana"/>
                <w:b/>
                <w:bCs/>
                <w:lang w:val="en-GB"/>
              </w:rPr>
              <w:t>#</w:t>
            </w:r>
          </w:p>
        </w:tc>
      </w:tr>
      <w:tr w:rsidR="00B50637" w14:paraId="119F078C" w14:textId="77777777" w:rsidTr="0009716D">
        <w:tc>
          <w:tcPr>
            <w:tcW w:w="496" w:type="dxa"/>
          </w:tcPr>
          <w:p w14:paraId="4F0D8B9C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1</w:t>
            </w:r>
          </w:p>
        </w:tc>
        <w:tc>
          <w:tcPr>
            <w:tcW w:w="3318" w:type="dxa"/>
          </w:tcPr>
          <w:p w14:paraId="55B1B218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1D0A1511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6D6F88E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200A2F16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41BD2E1E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5F2D9D08" w14:textId="77777777" w:rsidTr="0009716D">
        <w:tc>
          <w:tcPr>
            <w:tcW w:w="496" w:type="dxa"/>
          </w:tcPr>
          <w:p w14:paraId="1CF146C0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2</w:t>
            </w:r>
          </w:p>
        </w:tc>
        <w:tc>
          <w:tcPr>
            <w:tcW w:w="3318" w:type="dxa"/>
          </w:tcPr>
          <w:p w14:paraId="6F33F2C3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6F519D4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3EC9E92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578C4EF5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3CBDFA06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223CFE84" w14:textId="77777777" w:rsidTr="0009716D">
        <w:tc>
          <w:tcPr>
            <w:tcW w:w="496" w:type="dxa"/>
          </w:tcPr>
          <w:p w14:paraId="73EE2879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3</w:t>
            </w:r>
          </w:p>
        </w:tc>
        <w:tc>
          <w:tcPr>
            <w:tcW w:w="3318" w:type="dxa"/>
          </w:tcPr>
          <w:p w14:paraId="1293B1BB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7160B81" w14:textId="455E8A1D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3C43306" w14:textId="089A810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08E63AE2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036DB171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6BDFFF24" w14:textId="77777777" w:rsidTr="0009716D">
        <w:tc>
          <w:tcPr>
            <w:tcW w:w="496" w:type="dxa"/>
          </w:tcPr>
          <w:p w14:paraId="18FCC5DA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4</w:t>
            </w:r>
          </w:p>
        </w:tc>
        <w:tc>
          <w:tcPr>
            <w:tcW w:w="3318" w:type="dxa"/>
          </w:tcPr>
          <w:p w14:paraId="343F0301" w14:textId="2DC2DB86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06309CA" w14:textId="47DB3C1F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27B6EB7" w14:textId="58CDB82F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74531E58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33C01B31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23B43A5C" w14:textId="77777777" w:rsidTr="0009716D">
        <w:tc>
          <w:tcPr>
            <w:tcW w:w="496" w:type="dxa"/>
          </w:tcPr>
          <w:p w14:paraId="0B4BE7D7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5</w:t>
            </w:r>
          </w:p>
        </w:tc>
        <w:tc>
          <w:tcPr>
            <w:tcW w:w="3318" w:type="dxa"/>
          </w:tcPr>
          <w:p w14:paraId="7A09DBF9" w14:textId="29D22D1E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6748DA7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0F2D123" w14:textId="0F93F593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2E4E22DA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069BD7D8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75194845" w14:textId="77777777" w:rsidTr="0009716D">
        <w:tc>
          <w:tcPr>
            <w:tcW w:w="496" w:type="dxa"/>
          </w:tcPr>
          <w:p w14:paraId="542F9A70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6</w:t>
            </w:r>
          </w:p>
        </w:tc>
        <w:tc>
          <w:tcPr>
            <w:tcW w:w="3318" w:type="dxa"/>
          </w:tcPr>
          <w:p w14:paraId="41448B50" w14:textId="255EDF85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DA1409E" w14:textId="1246BE41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E38F552" w14:textId="061413E1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5A281172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4E322744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12565596" w14:textId="77777777" w:rsidTr="0009716D">
        <w:tc>
          <w:tcPr>
            <w:tcW w:w="496" w:type="dxa"/>
          </w:tcPr>
          <w:p w14:paraId="65F686D6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7</w:t>
            </w:r>
          </w:p>
        </w:tc>
        <w:tc>
          <w:tcPr>
            <w:tcW w:w="3318" w:type="dxa"/>
          </w:tcPr>
          <w:p w14:paraId="3D9F9EA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F973202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666446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2C5BF14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5E44D96F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19ADA651" w14:textId="77777777" w:rsidTr="0009716D">
        <w:tc>
          <w:tcPr>
            <w:tcW w:w="496" w:type="dxa"/>
          </w:tcPr>
          <w:p w14:paraId="151E224D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8</w:t>
            </w:r>
          </w:p>
          <w:p w14:paraId="4016B066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  <w:p w14:paraId="417A1D62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04C61AC3" w14:textId="5F29DF96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3EFD5C5E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18CD5E76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0EBDB5DF" w14:textId="77777777" w:rsidTr="0009716D">
        <w:tc>
          <w:tcPr>
            <w:tcW w:w="496" w:type="dxa"/>
          </w:tcPr>
          <w:p w14:paraId="35D235E9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9</w:t>
            </w:r>
          </w:p>
          <w:p w14:paraId="5C6B063B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  <w:p w14:paraId="10DAF66E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3B2C8A24" w14:textId="6717FCDE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36BC590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72B1169F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3D23A1B5" w14:textId="77777777" w:rsidTr="0009716D">
        <w:tc>
          <w:tcPr>
            <w:tcW w:w="496" w:type="dxa"/>
          </w:tcPr>
          <w:p w14:paraId="1EF6D2E7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10</w:t>
            </w:r>
          </w:p>
          <w:p w14:paraId="7E05A5CE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  <w:p w14:paraId="39B6D163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358B9F0D" w14:textId="7B973D53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486198A1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63292956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644AEF92" w14:textId="77777777" w:rsidTr="0009716D">
        <w:tc>
          <w:tcPr>
            <w:tcW w:w="496" w:type="dxa"/>
          </w:tcPr>
          <w:p w14:paraId="4B80BCEC" w14:textId="44DF0C9B" w:rsidR="002D0329" w:rsidRDefault="002D0329" w:rsidP="0009716D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11</w:t>
            </w:r>
          </w:p>
          <w:p w14:paraId="31BFB825" w14:textId="77777777" w:rsidR="002D0329" w:rsidRPr="00280380" w:rsidRDefault="002D0329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0EF8C163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6FC87FA9" w14:textId="77777777" w:rsidR="004027D6" w:rsidRDefault="004027D6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3082C20" w14:textId="77777777" w:rsidR="004027D6" w:rsidRDefault="004027D6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0B918272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68461971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68B5CA34" w14:textId="77777777" w:rsidTr="0009716D">
        <w:tc>
          <w:tcPr>
            <w:tcW w:w="496" w:type="dxa"/>
          </w:tcPr>
          <w:p w14:paraId="290595C2" w14:textId="77777777" w:rsidR="002D0329" w:rsidRDefault="002D0329" w:rsidP="0009716D">
            <w:pPr>
              <w:rPr>
                <w:rFonts w:ascii="Verdana" w:hAnsi="Verdana"/>
                <w:lang w:val="en-GB"/>
              </w:rPr>
            </w:pPr>
          </w:p>
          <w:p w14:paraId="2D636047" w14:textId="0284719D" w:rsidR="002D0329" w:rsidRDefault="002D0329" w:rsidP="0009716D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12</w:t>
            </w:r>
          </w:p>
          <w:p w14:paraId="60D88D33" w14:textId="77777777" w:rsidR="002D0329" w:rsidRDefault="002D0329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6EADC6CD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1BB0882F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5E652127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19197B69" w14:textId="08B3CC06" w:rsidR="00E6539A" w:rsidRPr="00B50637" w:rsidRDefault="00E6539A" w:rsidP="00C21B0B">
      <w:pPr>
        <w:spacing w:line="360" w:lineRule="auto"/>
        <w:rPr>
          <w:rFonts w:ascii="Verdana" w:hAnsi="Verdana"/>
          <w:sz w:val="24"/>
          <w:szCs w:val="24"/>
          <w:lang w:val="en-GB"/>
        </w:rPr>
      </w:pPr>
    </w:p>
    <w:p w14:paraId="708E5DFC" w14:textId="2B05B910" w:rsidR="009E2279" w:rsidRPr="00390FFC" w:rsidRDefault="00BD0249" w:rsidP="00C21B0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  <w:lang w:val="en-GB"/>
        </w:rPr>
      </w:pPr>
      <w:r w:rsidRPr="009E2279">
        <w:rPr>
          <w:rFonts w:ascii="Verdana" w:hAnsi="Verdana"/>
          <w:lang w:val="en-GB"/>
        </w:rPr>
        <w:t xml:space="preserve">For each </w:t>
      </w:r>
      <w:r w:rsidRPr="008D211E">
        <w:rPr>
          <w:rFonts w:ascii="Verdana" w:hAnsi="Verdana"/>
          <w:b/>
          <w:bCs/>
          <w:lang w:val="en-GB"/>
        </w:rPr>
        <w:t>non-arbitrary decision</w:t>
      </w:r>
      <w:r w:rsidRPr="009E2279">
        <w:rPr>
          <w:rFonts w:ascii="Verdana" w:hAnsi="Verdana"/>
          <w:lang w:val="en-GB"/>
        </w:rPr>
        <w:t xml:space="preserve"> listed above, specify the type</w:t>
      </w:r>
      <w:r w:rsidR="000F3150">
        <w:rPr>
          <w:rFonts w:ascii="Verdana" w:hAnsi="Verdana"/>
          <w:lang w:val="en-GB"/>
        </w:rPr>
        <w:t>(s)</w:t>
      </w:r>
      <w:r w:rsidRPr="009E2279">
        <w:rPr>
          <w:rFonts w:ascii="Verdana" w:hAnsi="Verdana"/>
          <w:lang w:val="en-GB"/>
        </w:rPr>
        <w:t xml:space="preserve"> of </w:t>
      </w:r>
      <w:proofErr w:type="spellStart"/>
      <w:r w:rsidRPr="009E2279">
        <w:rPr>
          <w:rFonts w:ascii="Verdana" w:hAnsi="Verdana"/>
          <w:lang w:val="en-GB"/>
        </w:rPr>
        <w:t>nonequivalence</w:t>
      </w:r>
      <w:proofErr w:type="spellEnd"/>
      <w:r w:rsidRPr="009E2279">
        <w:rPr>
          <w:rFonts w:ascii="Verdana" w:hAnsi="Verdana"/>
          <w:lang w:val="en-GB"/>
        </w:rPr>
        <w:t xml:space="preserve"> that is likely to result from adding alternatives to the model following the terms used by Del Giudice et al. (2021; see box </w:t>
      </w:r>
      <w:r>
        <w:rPr>
          <w:rFonts w:ascii="Verdana" w:hAnsi="Verdana"/>
          <w:lang w:val="en-GB"/>
        </w:rPr>
        <w:t>2</w:t>
      </w:r>
      <w:r w:rsidRPr="009E2279">
        <w:rPr>
          <w:rFonts w:ascii="Verdana" w:hAnsi="Verdana"/>
          <w:lang w:val="en-GB"/>
        </w:rPr>
        <w:t xml:space="preserve"> below).</w:t>
      </w:r>
    </w:p>
    <w:p w14:paraId="20D84F53" w14:textId="77777777" w:rsidR="00390FFC" w:rsidRDefault="00390FFC" w:rsidP="00390FFC">
      <w:pPr>
        <w:rPr>
          <w:rFonts w:ascii="Verdana" w:hAnsi="Verdana"/>
          <w:sz w:val="24"/>
          <w:szCs w:val="24"/>
          <w:lang w:val="en-GB"/>
        </w:rPr>
      </w:pPr>
    </w:p>
    <w:p w14:paraId="0B36A52B" w14:textId="77777777" w:rsidR="00390FFC" w:rsidRPr="00B50637" w:rsidRDefault="00390FFC" w:rsidP="00390FFC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5181"/>
      </w:tblGrid>
      <w:tr w:rsidR="006D5B4A" w:rsidRPr="00E6539A" w14:paraId="586C2B09" w14:textId="77777777" w:rsidTr="006D5B4A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6B13D9" w14:textId="77777777" w:rsidR="006D5B4A" w:rsidRPr="00E6539A" w:rsidRDefault="006D5B4A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E552A3" w14:textId="77777777" w:rsidR="006D5B4A" w:rsidRPr="00B50637" w:rsidRDefault="006D5B4A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Decision</w:t>
            </w: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9FF2C8" w14:textId="2EA93FE6" w:rsidR="006D5B4A" w:rsidRPr="00B50637" w:rsidRDefault="006D5B4A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 xml:space="preserve">Type(s) of </w:t>
            </w:r>
            <w:proofErr w:type="spellStart"/>
            <w:r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nonequivalence</w:t>
            </w:r>
            <w:proofErr w:type="spellEnd"/>
          </w:p>
        </w:tc>
      </w:tr>
      <w:tr w:rsidR="006D5B4A" w14:paraId="7209188B" w14:textId="77777777" w:rsidTr="006D5B4A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BBEF08" w14:textId="77777777" w:rsidR="006D5B4A" w:rsidRPr="00B50637" w:rsidRDefault="006D5B4A" w:rsidP="0009716D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CDDBEC" w14:textId="77777777" w:rsidR="006D5B4A" w:rsidRPr="00B50637" w:rsidRDefault="006D5B4A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Exclude</w:t>
            </w: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 xml:space="preserve"> outliers at &gt; 3.2 SD</w:t>
            </w: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3BB7DD" w14:textId="3AD80822" w:rsidR="006D5B4A" w:rsidRPr="00B50637" w:rsidRDefault="006D5B4A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</w:p>
        </w:tc>
      </w:tr>
    </w:tbl>
    <w:p w14:paraId="636A972E" w14:textId="77777777" w:rsidR="00390FFC" w:rsidRPr="00390FFC" w:rsidRDefault="00390FFC" w:rsidP="00390FFC">
      <w:pPr>
        <w:rPr>
          <w:rFonts w:ascii="Verdana" w:hAnsi="Verdana"/>
          <w:sz w:val="24"/>
          <w:szCs w:val="24"/>
          <w:lang w:val="en-GB"/>
        </w:rPr>
      </w:pPr>
    </w:p>
    <w:p w14:paraId="4E5BAEA5" w14:textId="77777777" w:rsidR="00390FFC" w:rsidRPr="00390FFC" w:rsidRDefault="00390FFC" w:rsidP="00390FFC">
      <w:pPr>
        <w:rPr>
          <w:rFonts w:ascii="Verdana" w:hAnsi="Verdana"/>
          <w:sz w:val="24"/>
          <w:szCs w:val="24"/>
          <w:lang w:val="en-GB"/>
        </w:rPr>
      </w:pPr>
    </w:p>
    <w:p w14:paraId="608CAFA2" w14:textId="284E9700" w:rsidR="009E2279" w:rsidRDefault="00BD0249" w:rsidP="009E2279">
      <w:pPr>
        <w:rPr>
          <w:rFonts w:ascii="Verdana" w:hAnsi="Verdana"/>
          <w:lang w:val="en-GB"/>
        </w:rPr>
      </w:pPr>
      <w:r>
        <w:rPr>
          <w:rFonts w:ascii="Verdana" w:hAnsi="Verdan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2D685" wp14:editId="5569E93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715000" cy="5219700"/>
                <wp:effectExtent l="0" t="0" r="19050" b="19050"/>
                <wp:wrapNone/>
                <wp:docPr id="7003671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21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CB39" w14:textId="08F2D5C4" w:rsidR="00706FAA" w:rsidRPr="00CF0E48" w:rsidRDefault="00ED0A31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Box </w:t>
                            </w:r>
                            <w:r w:rsidR="000A297A"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0A297A"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Different types of outcome </w:t>
                            </w:r>
                            <w:proofErr w:type="spellStart"/>
                            <w:r w:rsidR="000A297A"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nonequivalence</w:t>
                            </w:r>
                            <w:proofErr w:type="spellEnd"/>
                            <w:r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BD024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Not all decisions are created equal. In </w:t>
                            </w:r>
                            <w:r w:rsidR="00EF365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many </w:t>
                            </w:r>
                            <w:r w:rsidRPr="00BD024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cases, one decision is preferable over all alternatives.</w:t>
                            </w:r>
                            <w:r w:rsidR="0056367C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00FB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Adding such non-arbitrary decisions to the multiverse can have a big impact on our inferences. </w:t>
                            </w:r>
                            <w:r w:rsidR="003A60BF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Even </w:t>
                            </w:r>
                            <w:r w:rsidR="006D541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when adding a single </w:t>
                            </w:r>
                            <w:r w:rsidR="003F6D76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non-arbitrary decision with two alternatives</w:t>
                            </w:r>
                            <w:r w:rsidR="00F00C3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, half the multiverse </w:t>
                            </w:r>
                            <w:r w:rsidR="00BA22D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contains the unjustified alternative. </w:t>
                            </w:r>
                            <w:r w:rsidR="00DC6D9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This way, </w:t>
                            </w:r>
                            <w:r w:rsidR="00334BB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realistic effect sizes can </w:t>
                            </w:r>
                            <w:r w:rsidR="00B36447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quickly become overshadowed by </w:t>
                            </w:r>
                            <w:r w:rsidR="007547F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invalid, biased effect sizes. </w:t>
                            </w:r>
                            <w:r w:rsidR="0056367C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Del Giudice et al (2021) distinguish between three types of </w:t>
                            </w:r>
                            <w:proofErr w:type="spellStart"/>
                            <w:r w:rsidR="0056367C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nonequivalence</w:t>
                            </w:r>
                            <w:proofErr w:type="spellEnd"/>
                            <w:r w:rsidR="0056367C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that could result from adding </w:t>
                            </w:r>
                            <w:r w:rsidR="00AB100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non-arbitrary decisions to the multiverse:</w:t>
                            </w:r>
                            <w:r w:rsidR="00AB100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AB100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AB100E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1. Measurement </w:t>
                            </w:r>
                            <w:proofErr w:type="spellStart"/>
                            <w:r w:rsidR="00AB100E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non</w:t>
                            </w:r>
                            <w:r w:rsidR="00F04E6F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equivalence</w:t>
                            </w:r>
                            <w:proofErr w:type="spellEnd"/>
                            <w:r w:rsidR="00F04E6F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F04E6F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5837D7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One decision provides an objectively better measure </w:t>
                            </w:r>
                            <w:r w:rsidR="00D352C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of the construct. </w:t>
                            </w:r>
                            <w:r w:rsidR="00AF33E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One example is including </w:t>
                            </w:r>
                            <w:r w:rsidR="00C5783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 composite measure as well as its indicators to the multiverse. As Del Giudice et al (2021) note, </w:t>
                            </w:r>
                            <w:r w:rsidR="0024508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composite measures are usually more valid and reliable </w:t>
                            </w:r>
                            <w:r w:rsidR="000E758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than their individual components</w:t>
                            </w:r>
                            <w:r w:rsidR="00600ED7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(assuming that each component </w:t>
                            </w:r>
                            <w:r w:rsidR="00913EB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is itself a valid measure of the construct)</w:t>
                            </w:r>
                            <w:r w:rsidR="000E758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913EB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913EB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913EBD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2. Effect </w:t>
                            </w:r>
                            <w:proofErr w:type="spellStart"/>
                            <w:r w:rsidR="00913EBD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nonequivalence</w:t>
                            </w:r>
                            <w:proofErr w:type="spellEnd"/>
                            <w:r w:rsidR="00913EBD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C5600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A453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 key assumption of multiverse analysis is that the </w:t>
                            </w:r>
                            <w:r w:rsidR="006F360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interpretation of the </w:t>
                            </w:r>
                            <w:r w:rsidR="001A453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effect is the same across the </w:t>
                            </w:r>
                            <w:r w:rsidR="006F360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entire multiverse.</w:t>
                            </w:r>
                            <w:r w:rsidR="00F869D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There are different ways in which different decisions can lead to non-comparable effects.</w:t>
                            </w:r>
                            <w:r w:rsidR="006F360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75EA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For example</w:t>
                            </w:r>
                            <w:r w:rsidR="00CA250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, adding two-and three-way interaction specifications leads to </w:t>
                            </w:r>
                            <w:r w:rsidR="003D322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effects that </w:t>
                            </w:r>
                            <w:proofErr w:type="spellStart"/>
                            <w:r w:rsidR="003D322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can not</w:t>
                            </w:r>
                            <w:proofErr w:type="spellEnd"/>
                            <w:r w:rsidR="003D322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be directly compared. </w:t>
                            </w:r>
                            <w:r w:rsidR="00675EA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In addition</w:t>
                            </w:r>
                            <w:r w:rsidR="003D322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—as mentioned in box 1—</w:t>
                            </w:r>
                            <w:r w:rsidR="005143E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using different sets of covariates </w:t>
                            </w:r>
                            <w:r w:rsidR="0036273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is likely to change the causal logic of the model</w:t>
                            </w:r>
                            <w:r w:rsidR="0060016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, making the effects incomparable. </w:t>
                            </w:r>
                            <w:r w:rsidR="00CE475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For example, </w:t>
                            </w:r>
                            <w:r w:rsidR="00690E0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if the </w:t>
                            </w:r>
                            <w:r w:rsidR="000739F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association tested with the model is confounded by variable X, then leaving variable X out of the model </w:t>
                            </w:r>
                            <w:r w:rsidR="002E484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yields a more biased estimate than when including it as a covariate.</w:t>
                            </w:r>
                            <w:r w:rsidR="002E484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E484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E4844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3. Power/precision </w:t>
                            </w:r>
                            <w:proofErr w:type="spellStart"/>
                            <w:r w:rsidR="002E4844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nonequivalence</w:t>
                            </w:r>
                            <w:proofErr w:type="spellEnd"/>
                            <w:r w:rsidR="002E4844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38034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Some decisions might require excluding </w:t>
                            </w:r>
                            <w:r w:rsidR="00312AB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more participants than anticipated. </w:t>
                            </w:r>
                            <w:r w:rsidR="00621FF6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In such cases, some data sets in the multiverse might be underpowered</w:t>
                            </w:r>
                            <w:r w:rsidR="002838D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. Note that this can happen for decisions that are </w:t>
                            </w:r>
                            <w:r w:rsidR="00CF0E4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otherwise arbitrary.</w:t>
                            </w:r>
                            <w:r w:rsidR="00621FF6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06FA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  <w:p w14:paraId="033726F7" w14:textId="05F98EDD" w:rsidR="000A297A" w:rsidRPr="000A297A" w:rsidRDefault="000A297A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</w:pP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  <w:t>Relevant reading</w:t>
                            </w:r>
                          </w:p>
                          <w:p w14:paraId="631B0BBC" w14:textId="12FAA620" w:rsidR="000A297A" w:rsidRPr="000A297A" w:rsidRDefault="000A297A" w:rsidP="000A297A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Del Giudice, M., &amp; Gangestad, S. W. (2021). A Traveler’s Guide to the Multiverse: Promises, Pitfalls, and a Framework for the Evaluation of Analytic Decisions. </w:t>
                            </w:r>
                            <w:r w:rsidRPr="000A297A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Advances in Methods and Practices in Psychological Science</w:t>
                            </w:r>
                            <w:r w:rsidR="00E92D9A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332C0F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332C0F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(1), 1-15</w:t>
                            </w: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hyperlink r:id="rId15" w:history="1">
                              <w:r w:rsidRPr="000A297A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https://doi.org/10.1177/2515245920954925</w:t>
                              </w:r>
                            </w:hyperlink>
                          </w:p>
                          <w:p w14:paraId="29DA8728" w14:textId="77777777" w:rsidR="000A297A" w:rsidRPr="000A297A" w:rsidRDefault="000A297A">
                            <w:pPr>
                              <w:rPr>
                                <w:rFonts w:ascii="Verdana" w:hAnsi="Verdana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2D68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8.8pt;margin-top:.85pt;width:450pt;height:41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" fillcolor="#c5e0b3 [1305]" strokeweight=".5pt">
                <v:textbox>
                  <w:txbxContent>
                    <w:p w14:paraId="7DABCB39" w14:textId="08F2D5C4" w:rsidR="00706FAA" w:rsidRPr="00CF0E48" w:rsidRDefault="00ED0A31">
                      <w:pPr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  <w:r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Box </w:t>
                      </w:r>
                      <w:r w:rsidR="000A297A"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2</w:t>
                      </w:r>
                      <w:r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="000A297A"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Different types of outcome nonequivalence</w:t>
                      </w:r>
                      <w:r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Pr="00BD024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Not all decisions are created equal. In </w:t>
                      </w:r>
                      <w:r w:rsidR="00EF365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many </w:t>
                      </w:r>
                      <w:r w:rsidRPr="00BD024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cases, one decision is preferable over all alternatives.</w:t>
                      </w:r>
                      <w:r w:rsidR="0056367C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200FB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Adding such non-arbitrary decisions to the multiverse can have a big impact on our inferences. </w:t>
                      </w:r>
                      <w:r w:rsidR="003A60BF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Even </w:t>
                      </w:r>
                      <w:r w:rsidR="006D541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when adding a single </w:t>
                      </w:r>
                      <w:r w:rsidR="003F6D76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non-arbitrary decision with two alternatives</w:t>
                      </w:r>
                      <w:r w:rsidR="00F00C3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, half the multiverse </w:t>
                      </w:r>
                      <w:r w:rsidR="00BA22D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contains the unjustified alternative. </w:t>
                      </w:r>
                      <w:r w:rsidR="00DC6D9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This way, </w:t>
                      </w:r>
                      <w:r w:rsidR="00334BB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realistic effect sizes can </w:t>
                      </w:r>
                      <w:r w:rsidR="00B36447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quickly become overshadowed by </w:t>
                      </w:r>
                      <w:r w:rsidR="007547F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invalid, biased effect sizes. </w:t>
                      </w:r>
                      <w:r w:rsidR="0056367C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Del Giudice et al (2021) distinguish between three types of nonequivalence that could result from adding </w:t>
                      </w:r>
                      <w:r w:rsidR="00AB100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non-arbitrary decisions to the multiverse:</w:t>
                      </w:r>
                      <w:r w:rsidR="00AB100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AB100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AB100E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1. Measurement non</w:t>
                      </w:r>
                      <w:r w:rsidR="00F04E6F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equivalence.</w:t>
                      </w:r>
                      <w:r w:rsidR="00F04E6F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5837D7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One decision provides an objectively better measure </w:t>
                      </w:r>
                      <w:r w:rsidR="00D352C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of the construct. </w:t>
                      </w:r>
                      <w:r w:rsidR="00AF33E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One example is including </w:t>
                      </w:r>
                      <w:r w:rsidR="00C5783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 composite measure as well as its indicators to the multiverse. As Del Giudice et al (2021) note, </w:t>
                      </w:r>
                      <w:r w:rsidR="0024508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composite measures are usually more valid and reliable </w:t>
                      </w:r>
                      <w:r w:rsidR="000E758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than their individual components</w:t>
                      </w:r>
                      <w:r w:rsidR="00600ED7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(assuming that each component </w:t>
                      </w:r>
                      <w:r w:rsidR="00913EB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is itself a valid measure of the construct)</w:t>
                      </w:r>
                      <w:r w:rsidR="000E758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913EB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913EB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913EBD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2. Effect nonequivalence.</w:t>
                      </w:r>
                      <w:r w:rsidR="00C5600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A453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 key assumption of multiverse analysis is that the </w:t>
                      </w:r>
                      <w:r w:rsidR="006F360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interpretation of the </w:t>
                      </w:r>
                      <w:r w:rsidR="001A453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effect is the same across the </w:t>
                      </w:r>
                      <w:r w:rsidR="006F360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entire multiverse.</w:t>
                      </w:r>
                      <w:r w:rsidR="00F869D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There are different ways in which different decisions can lead to non-comparable effects.</w:t>
                      </w:r>
                      <w:r w:rsidR="006F360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75EA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For example</w:t>
                      </w:r>
                      <w:r w:rsidR="00CA250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, adding two-and three-way interaction specifications leads to </w:t>
                      </w:r>
                      <w:r w:rsidR="003D322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effects that can not be directly compared. </w:t>
                      </w:r>
                      <w:r w:rsidR="00675EA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In addition</w:t>
                      </w:r>
                      <w:r w:rsidR="003D322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—as mentioned in box 1—</w:t>
                      </w:r>
                      <w:r w:rsidR="005143E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using different sets of covariates </w:t>
                      </w:r>
                      <w:r w:rsidR="0036273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is likely to change the causal logic of the model</w:t>
                      </w:r>
                      <w:r w:rsidR="0060016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, making the effects incomparable. </w:t>
                      </w:r>
                      <w:r w:rsidR="00CE475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For example, </w:t>
                      </w:r>
                      <w:r w:rsidR="00690E0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if the </w:t>
                      </w:r>
                      <w:r w:rsidR="000739F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association tested with the model is confounded by variable X, then leaving variable X out of the model </w:t>
                      </w:r>
                      <w:r w:rsidR="002E484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yields a more biased estimate than when including it as a covariate.</w:t>
                      </w:r>
                      <w:r w:rsidR="002E484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E484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E4844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3. Power/precision nonequivalence. </w:t>
                      </w:r>
                      <w:r w:rsidR="0038034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Some decisions might require excluding </w:t>
                      </w:r>
                      <w:r w:rsidR="00312AB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more participants than anticipated. </w:t>
                      </w:r>
                      <w:r w:rsidR="00621FF6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In such cases, some data sets in the multiverse might be underpowered</w:t>
                      </w:r>
                      <w:r w:rsidR="002838D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. Note that this can happen for decisions that are </w:t>
                      </w:r>
                      <w:r w:rsidR="00CF0E4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otherwise arbitrary.</w:t>
                      </w:r>
                      <w:r w:rsidR="00621FF6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06FA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  <w:p w14:paraId="033726F7" w14:textId="05F98EDD" w:rsidR="000A297A" w:rsidRPr="000A297A" w:rsidRDefault="000A297A">
                      <w:pPr>
                        <w:rPr>
                          <w:rFonts w:ascii="Verdana" w:hAnsi="Verdana"/>
                          <w:sz w:val="16"/>
                          <w:szCs w:val="16"/>
                          <w:u w:val="single"/>
                          <w:lang w:val="en-GB"/>
                        </w:rPr>
                      </w:pPr>
                      <w:r w:rsidRPr="000A297A">
                        <w:rPr>
                          <w:rFonts w:ascii="Verdana" w:hAnsi="Verdana"/>
                          <w:sz w:val="16"/>
                          <w:szCs w:val="16"/>
                          <w:u w:val="single"/>
                          <w:lang w:val="en-GB"/>
                        </w:rPr>
                        <w:t>Relevant reading</w:t>
                      </w:r>
                    </w:p>
                    <w:p w14:paraId="631B0BBC" w14:textId="12FAA620" w:rsidR="000A297A" w:rsidRPr="000A297A" w:rsidRDefault="000A297A" w:rsidP="000A297A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Del Giudice, M., &amp; Gangestad, S. W. (2021). A Traveler’s Guide to the Multiverse: Promises, Pitfalls, and a Framework for the Evaluation of Analytic Decisions. </w:t>
                      </w:r>
                      <w:r w:rsidRPr="000A297A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>Advances in Methods and Practices in Psychological Science</w:t>
                      </w:r>
                      <w:r w:rsidR="00E92D9A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332C0F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332C0F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(1), 1-15</w:t>
                      </w: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hyperlink r:id="rId16" w:history="1">
                        <w:r w:rsidRPr="000A297A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u w:val="none"/>
                            <w:lang w:val="en-US"/>
                          </w:rPr>
                          <w:t>https://doi.org/10.1177/2515245920954925</w:t>
                        </w:r>
                      </w:hyperlink>
                    </w:p>
                    <w:p w14:paraId="29DA8728" w14:textId="77777777" w:rsidR="000A297A" w:rsidRPr="000A297A" w:rsidRDefault="000A297A">
                      <w:pPr>
                        <w:rPr>
                          <w:rFonts w:ascii="Verdana" w:hAnsi="Verdana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DAD322" w14:textId="77777777" w:rsidR="009E2279" w:rsidRDefault="009E2279" w:rsidP="009E2279">
      <w:pPr>
        <w:rPr>
          <w:rFonts w:ascii="Verdana" w:hAnsi="Verdana"/>
          <w:lang w:val="en-GB"/>
        </w:rPr>
      </w:pPr>
    </w:p>
    <w:p w14:paraId="48A63ACB" w14:textId="77777777" w:rsidR="009E2279" w:rsidRDefault="009E2279" w:rsidP="009E2279">
      <w:pPr>
        <w:rPr>
          <w:rFonts w:ascii="Verdana" w:hAnsi="Verdana"/>
          <w:lang w:val="en-GB"/>
        </w:rPr>
      </w:pPr>
    </w:p>
    <w:p w14:paraId="7265C505" w14:textId="77777777" w:rsidR="009E2279" w:rsidRDefault="009E2279" w:rsidP="009E2279">
      <w:pPr>
        <w:rPr>
          <w:rFonts w:ascii="Verdana" w:hAnsi="Verdana"/>
          <w:lang w:val="en-GB"/>
        </w:rPr>
      </w:pPr>
    </w:p>
    <w:p w14:paraId="66C2D722" w14:textId="77777777" w:rsidR="009E2279" w:rsidRDefault="009E2279" w:rsidP="009E2279">
      <w:pPr>
        <w:rPr>
          <w:rFonts w:ascii="Verdana" w:hAnsi="Verdana"/>
          <w:lang w:val="en-GB"/>
        </w:rPr>
      </w:pPr>
    </w:p>
    <w:p w14:paraId="2E3400AC" w14:textId="31F08444" w:rsidR="00BA5D5B" w:rsidRPr="0036267B" w:rsidRDefault="009E2279" w:rsidP="0036267B">
      <w:pPr>
        <w:rPr>
          <w:rFonts w:ascii="Verdana" w:hAnsi="Verdana"/>
          <w:sz w:val="24"/>
          <w:szCs w:val="24"/>
          <w:highlight w:val="lightGray"/>
          <w:lang w:val="en-GB"/>
        </w:rPr>
      </w:pPr>
      <w:r>
        <w:rPr>
          <w:rFonts w:ascii="Verdana" w:hAnsi="Verdana"/>
          <w:sz w:val="24"/>
          <w:szCs w:val="24"/>
          <w:highlight w:val="lightGray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5181"/>
      </w:tblGrid>
      <w:tr w:rsidR="004027D6" w:rsidRPr="00E6539A" w14:paraId="68DD7C57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3BC08D" w14:textId="77777777" w:rsidR="004027D6" w:rsidRPr="004027D6" w:rsidRDefault="004027D6" w:rsidP="000C1EBF">
            <w:pPr>
              <w:jc w:val="center"/>
              <w:rPr>
                <w:rFonts w:ascii="Verdana" w:hAnsi="Verdana"/>
                <w:b/>
                <w:bCs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56D7E9" w14:textId="77777777" w:rsidR="004027D6" w:rsidRPr="004027D6" w:rsidRDefault="004027D6" w:rsidP="000C1EBF">
            <w:pPr>
              <w:jc w:val="center"/>
              <w:rPr>
                <w:rFonts w:ascii="Verdana" w:hAnsi="Verdana"/>
                <w:b/>
                <w:bCs/>
                <w:color w:val="000000" w:themeColor="text1"/>
                <w:lang w:val="en-GB"/>
              </w:rPr>
            </w:pPr>
            <w:r w:rsidRPr="004027D6">
              <w:rPr>
                <w:rFonts w:ascii="Verdana" w:hAnsi="Verdana"/>
                <w:b/>
                <w:bCs/>
                <w:color w:val="000000" w:themeColor="text1"/>
                <w:lang w:val="en-GB"/>
              </w:rPr>
              <w:t>Decision</w:t>
            </w: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A5D4B3" w14:textId="77777777" w:rsidR="004027D6" w:rsidRPr="004027D6" w:rsidRDefault="004027D6" w:rsidP="000C1EBF">
            <w:pPr>
              <w:jc w:val="center"/>
              <w:rPr>
                <w:rFonts w:ascii="Verdana" w:hAnsi="Verdana"/>
                <w:b/>
                <w:bCs/>
                <w:color w:val="000000" w:themeColor="text1"/>
                <w:lang w:val="en-GB"/>
              </w:rPr>
            </w:pPr>
            <w:r w:rsidRPr="004027D6">
              <w:rPr>
                <w:rFonts w:ascii="Verdana" w:hAnsi="Verdana"/>
                <w:b/>
                <w:bCs/>
                <w:color w:val="000000" w:themeColor="text1"/>
                <w:lang w:val="en-GB"/>
              </w:rPr>
              <w:t xml:space="preserve">Type(s) of </w:t>
            </w:r>
            <w:proofErr w:type="spellStart"/>
            <w:r w:rsidRPr="004027D6">
              <w:rPr>
                <w:rFonts w:ascii="Verdana" w:hAnsi="Verdana"/>
                <w:b/>
                <w:bCs/>
                <w:color w:val="000000" w:themeColor="text1"/>
                <w:lang w:val="en-GB"/>
              </w:rPr>
              <w:t>nonequivalence</w:t>
            </w:r>
            <w:proofErr w:type="spellEnd"/>
          </w:p>
        </w:tc>
      </w:tr>
      <w:tr w:rsidR="004027D6" w14:paraId="23CD4847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F800FB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 w:rsidRPr="004027D6">
              <w:rPr>
                <w:rFonts w:ascii="Verdana" w:hAnsi="Verdana"/>
                <w:color w:val="000000" w:themeColor="text1"/>
                <w:lang w:val="en-GB"/>
              </w:rPr>
              <w:t>1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A5BD3" w14:textId="6B57FCE0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30230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2064BBFE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3BB181CC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0215DEA7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6FD28C" w14:textId="07A0DFBF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2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ED31BC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2C8BDB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4B78C5A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6099A9D9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46A26678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F64519" w14:textId="41B44933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3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C58C40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C4D63E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35B3234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22A2479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20200AAE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F500F1" w14:textId="3C6906D0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4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1F7A21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7D358639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3A31E2A3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D04CD3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4194CA50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5B59B2" w14:textId="243738E0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5</w:t>
            </w:r>
          </w:p>
          <w:p w14:paraId="13F5F3BA" w14:textId="4E119390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0C0CCA32" w14:textId="1356E078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B593D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E9BB7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45729E6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0DF66BDE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4F41BF19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157FA1" w14:textId="06EE1751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6</w:t>
            </w:r>
          </w:p>
          <w:p w14:paraId="08F51779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79485F93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877373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64F618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313741F8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D174AC" w14:textId="770128FB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7</w:t>
            </w:r>
          </w:p>
          <w:p w14:paraId="6CD08998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74916F76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DF7BC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C59022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01D6C28B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EF4E65" w14:textId="028E2BFC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8</w:t>
            </w:r>
          </w:p>
          <w:p w14:paraId="74F24DD5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18DD75BE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FAA962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40CBC9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5E5A022C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75294D" w14:textId="233A0D55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9</w:t>
            </w:r>
          </w:p>
          <w:p w14:paraId="0B520A5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514EB52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899D4C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64428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671D255D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0B053B" w14:textId="75446145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10</w:t>
            </w:r>
          </w:p>
          <w:p w14:paraId="7569E73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7C0D1A82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BEF36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8D5C5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7E054E0D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E1034E" w14:textId="52EC194D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11</w:t>
            </w:r>
          </w:p>
          <w:p w14:paraId="043DD7A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38D2FDA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5AF63C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A51AE2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4E75511B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F49911" w14:textId="2343AD1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12</w:t>
            </w:r>
          </w:p>
          <w:p w14:paraId="21FD8B2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2D5F278C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7CE480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56D6A4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</w:tbl>
    <w:p w14:paraId="5ACE8629" w14:textId="77777777" w:rsidR="004027D6" w:rsidRDefault="004027D6" w:rsidP="004027D6">
      <w:pPr>
        <w:pStyle w:val="ListParagraph"/>
        <w:ind w:left="360"/>
        <w:rPr>
          <w:rFonts w:ascii="Verdana" w:hAnsi="Verdana"/>
          <w:lang w:val="en-GB"/>
        </w:rPr>
      </w:pPr>
    </w:p>
    <w:p w14:paraId="03BB643F" w14:textId="77777777" w:rsidR="004027D6" w:rsidRDefault="004027D6" w:rsidP="004027D6">
      <w:pPr>
        <w:pStyle w:val="ListParagraph"/>
        <w:ind w:left="360"/>
        <w:rPr>
          <w:rFonts w:ascii="Verdana" w:hAnsi="Verdana"/>
          <w:lang w:val="en-GB"/>
        </w:rPr>
      </w:pPr>
    </w:p>
    <w:p w14:paraId="1E1D1D57" w14:textId="77777777" w:rsidR="004027D6" w:rsidRDefault="004027D6" w:rsidP="004027D6">
      <w:pPr>
        <w:pStyle w:val="ListParagraph"/>
        <w:ind w:left="360"/>
        <w:rPr>
          <w:rFonts w:ascii="Verdana" w:hAnsi="Verdana"/>
          <w:lang w:val="en-GB"/>
        </w:rPr>
      </w:pPr>
    </w:p>
    <w:p w14:paraId="0CF2D756" w14:textId="77777777" w:rsidR="004027D6" w:rsidRDefault="004027D6" w:rsidP="004027D6">
      <w:pPr>
        <w:pStyle w:val="ListParagraph"/>
        <w:ind w:left="360"/>
        <w:rPr>
          <w:rFonts w:ascii="Verdana" w:hAnsi="Verdana"/>
          <w:lang w:val="en-GB"/>
        </w:rPr>
      </w:pPr>
    </w:p>
    <w:p w14:paraId="7588B88D" w14:textId="4C90670F" w:rsidR="00BA5D5B" w:rsidRPr="0036267B" w:rsidRDefault="00BA5D5B" w:rsidP="00C21B0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lang w:val="en-GB"/>
        </w:rPr>
      </w:pPr>
      <w:r w:rsidRPr="0036267B">
        <w:rPr>
          <w:rFonts w:ascii="Verdana" w:hAnsi="Verdana"/>
          <w:lang w:val="en-GB"/>
        </w:rPr>
        <w:t xml:space="preserve">What is the size of the multiverse that you constructed under (2)? In other words, </w:t>
      </w:r>
      <w:proofErr w:type="gramStart"/>
      <w:r w:rsidRPr="0036267B">
        <w:rPr>
          <w:rFonts w:ascii="Verdana" w:hAnsi="Verdana"/>
          <w:lang w:val="en-GB"/>
        </w:rPr>
        <w:t>How</w:t>
      </w:r>
      <w:proofErr w:type="gramEnd"/>
      <w:r w:rsidRPr="0036267B">
        <w:rPr>
          <w:rFonts w:ascii="Verdana" w:hAnsi="Verdana"/>
          <w:lang w:val="en-GB"/>
        </w:rPr>
        <w:t xml:space="preserve"> many combinations of arbitrary decisions are possible?</w:t>
      </w:r>
      <w:r w:rsidR="000A297A" w:rsidRPr="0036267B">
        <w:rPr>
          <w:rFonts w:ascii="Verdana" w:hAnsi="Verdana"/>
          <w:lang w:val="en-GB"/>
        </w:rPr>
        <w:br/>
      </w:r>
    </w:p>
    <w:p w14:paraId="1B7DA8CC" w14:textId="63E9C96D" w:rsidR="000A297A" w:rsidRPr="0036267B" w:rsidRDefault="000A297A" w:rsidP="00C21B0B">
      <w:pPr>
        <w:spacing w:line="360" w:lineRule="auto"/>
        <w:rPr>
          <w:rFonts w:ascii="Verdana" w:hAnsi="Verdana"/>
          <w:lang w:val="en-GB"/>
        </w:rPr>
      </w:pPr>
      <w:r w:rsidRPr="0036267B">
        <w:rPr>
          <w:rFonts w:ascii="Verdana" w:hAnsi="Verdana"/>
          <w:lang w:val="en-GB"/>
        </w:rPr>
        <w:t>…………………………</w:t>
      </w:r>
      <w:r w:rsidR="002F3546">
        <w:rPr>
          <w:rFonts w:ascii="Verdana" w:hAnsi="Verdana"/>
          <w:lang w:val="en-GB"/>
        </w:rPr>
        <w:t>…………………………………</w:t>
      </w:r>
    </w:p>
    <w:p w14:paraId="5DBB4D13" w14:textId="77777777" w:rsidR="00BA5D5B" w:rsidRDefault="00BA5D5B" w:rsidP="00BA5D5B">
      <w:pPr>
        <w:rPr>
          <w:lang w:val="en-GB"/>
        </w:rPr>
      </w:pPr>
    </w:p>
    <w:p w14:paraId="1F090609" w14:textId="77777777" w:rsidR="0036267B" w:rsidRDefault="0036267B" w:rsidP="00BA5D5B">
      <w:pPr>
        <w:rPr>
          <w:lang w:val="en-GB"/>
        </w:rPr>
      </w:pPr>
    </w:p>
    <w:p w14:paraId="094CE382" w14:textId="59054A74" w:rsidR="0036267B" w:rsidRPr="00A44FE8" w:rsidRDefault="00D45B64" w:rsidP="00C21B0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lang w:val="en-GB"/>
        </w:rPr>
      </w:pPr>
      <w:r w:rsidRPr="00A44FE8">
        <w:rPr>
          <w:rFonts w:ascii="Verdana" w:hAnsi="Verdana"/>
          <w:lang w:val="en-GB"/>
        </w:rPr>
        <w:lastRenderedPageBreak/>
        <w:t xml:space="preserve">Can you think of </w:t>
      </w:r>
      <w:r w:rsidR="00FF244C" w:rsidRPr="00A44FE8">
        <w:rPr>
          <w:rFonts w:ascii="Verdana" w:hAnsi="Verdana"/>
          <w:lang w:val="en-GB"/>
        </w:rPr>
        <w:t>tests</w:t>
      </w:r>
      <w:r w:rsidR="00332C0F">
        <w:rPr>
          <w:rFonts w:ascii="Verdana" w:hAnsi="Verdana"/>
          <w:lang w:val="en-GB"/>
        </w:rPr>
        <w:t xml:space="preserve"> using the outcomes of the multiverse analysis to assess the impact of specific decisions in terms of reliability or validity?</w:t>
      </w:r>
      <w:r w:rsidR="00FF244C" w:rsidRPr="00A44FE8">
        <w:rPr>
          <w:rFonts w:ascii="Verdana" w:hAnsi="Verdana"/>
          <w:lang w:val="en-GB"/>
        </w:rPr>
        <w:t xml:space="preserve"> </w:t>
      </w:r>
      <w:r w:rsidR="00146DFE" w:rsidRPr="00A44FE8">
        <w:rPr>
          <w:rFonts w:ascii="Verdana" w:hAnsi="Verdana"/>
          <w:lang w:val="en-GB"/>
        </w:rPr>
        <w:br/>
      </w:r>
      <w:r w:rsidR="00146DFE" w:rsidRPr="00A44FE8">
        <w:rPr>
          <w:rFonts w:ascii="Verdana" w:hAnsi="Verdana"/>
          <w:lang w:val="en-GB"/>
        </w:rPr>
        <w:br/>
      </w:r>
      <w:r w:rsidR="00146DFE" w:rsidRPr="00A44FE8">
        <w:rPr>
          <w:rFonts w:ascii="Verdana" w:hAnsi="Verdana"/>
          <w:lang w:val="en-GB"/>
        </w:rPr>
        <w:br/>
        <w:t>………………………………………………………………………………………………………………………………</w:t>
      </w:r>
      <w:r w:rsidR="00146DFE" w:rsidRPr="00A44FE8">
        <w:rPr>
          <w:rFonts w:ascii="Verdana" w:hAnsi="Verdana"/>
          <w:lang w:val="en-GB"/>
        </w:rPr>
        <w:br/>
      </w:r>
      <w:r w:rsidR="00146DFE" w:rsidRPr="00A44FE8">
        <w:rPr>
          <w:rFonts w:ascii="Verdana" w:hAnsi="Verdana"/>
          <w:lang w:val="en-GB"/>
        </w:rPr>
        <w:br/>
        <w:t>………………………………………………………………………………………………………………………………</w:t>
      </w:r>
      <w:r w:rsidR="00146DFE" w:rsidRPr="00A44FE8">
        <w:rPr>
          <w:rFonts w:ascii="Verdana" w:hAnsi="Verdana"/>
          <w:lang w:val="en-GB"/>
        </w:rPr>
        <w:br/>
      </w:r>
      <w:r w:rsidR="00146DFE" w:rsidRPr="00A44FE8">
        <w:rPr>
          <w:rFonts w:ascii="Verdana" w:hAnsi="Verdana"/>
          <w:lang w:val="en-GB"/>
        </w:rPr>
        <w:br/>
        <w:t>………………………………………………………………………………………………………………………………</w:t>
      </w:r>
      <w:r w:rsidR="00146DFE" w:rsidRPr="00A44FE8">
        <w:rPr>
          <w:rFonts w:ascii="Verdana" w:hAnsi="Verdana"/>
          <w:lang w:val="en-GB"/>
        </w:rPr>
        <w:br/>
      </w:r>
      <w:r w:rsidR="00146DFE" w:rsidRPr="00A44FE8">
        <w:rPr>
          <w:rFonts w:ascii="Verdana" w:hAnsi="Verdana"/>
          <w:lang w:val="en-GB"/>
        </w:rPr>
        <w:br/>
        <w:t>……………………………………………………………………………………………………………………</w:t>
      </w:r>
      <w:r w:rsidR="00332C0F">
        <w:rPr>
          <w:rFonts w:ascii="Verdana" w:hAnsi="Verdana"/>
          <w:lang w:val="en-GB"/>
        </w:rPr>
        <w:t>…………</w:t>
      </w:r>
      <w:r w:rsidR="00332C0F">
        <w:rPr>
          <w:rFonts w:ascii="Verdana" w:hAnsi="Verdana"/>
          <w:lang w:val="en-GB"/>
        </w:rPr>
        <w:br/>
      </w:r>
      <w:r w:rsidR="00332C0F">
        <w:rPr>
          <w:rFonts w:ascii="Verdana" w:hAnsi="Verdana"/>
          <w:lang w:val="en-GB"/>
        </w:rPr>
        <w:br/>
        <w:t>………………………………………………………………………………………………………………………………</w:t>
      </w:r>
      <w:r w:rsidR="00332C0F">
        <w:rPr>
          <w:rFonts w:ascii="Verdana" w:hAnsi="Verdana"/>
          <w:lang w:val="en-GB"/>
        </w:rPr>
        <w:br/>
      </w:r>
      <w:r w:rsidR="00332C0F">
        <w:rPr>
          <w:rFonts w:ascii="Verdana" w:hAnsi="Verdana"/>
          <w:lang w:val="en-GB"/>
        </w:rPr>
        <w:br/>
        <w:t>………………………………………………………………………………………………………………………………</w:t>
      </w:r>
    </w:p>
    <w:sectPr w:rsidR="0036267B" w:rsidRPr="00A44F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BA4"/>
    <w:multiLevelType w:val="hybridMultilevel"/>
    <w:tmpl w:val="F3D4CB82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1610DB"/>
    <w:multiLevelType w:val="hybridMultilevel"/>
    <w:tmpl w:val="AD4E2A7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714A53"/>
    <w:multiLevelType w:val="hybridMultilevel"/>
    <w:tmpl w:val="20F6F428"/>
    <w:lvl w:ilvl="0" w:tplc="343AE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A64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4B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67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82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AD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D62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C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F3683C"/>
    <w:multiLevelType w:val="hybridMultilevel"/>
    <w:tmpl w:val="277400EE"/>
    <w:lvl w:ilvl="0" w:tplc="EF6817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2FF7"/>
    <w:multiLevelType w:val="hybridMultilevel"/>
    <w:tmpl w:val="6206F430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381689">
    <w:abstractNumId w:val="0"/>
  </w:num>
  <w:num w:numId="2" w16cid:durableId="1881626588">
    <w:abstractNumId w:val="1"/>
  </w:num>
  <w:num w:numId="3" w16cid:durableId="1431469785">
    <w:abstractNumId w:val="4"/>
  </w:num>
  <w:num w:numId="4" w16cid:durableId="1407993923">
    <w:abstractNumId w:val="3"/>
  </w:num>
  <w:num w:numId="5" w16cid:durableId="74542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0363C5"/>
    <w:rsid w:val="00045581"/>
    <w:rsid w:val="0006690A"/>
    <w:rsid w:val="000739F3"/>
    <w:rsid w:val="00090667"/>
    <w:rsid w:val="000972C1"/>
    <w:rsid w:val="000A297A"/>
    <w:rsid w:val="000E7583"/>
    <w:rsid w:val="000F3150"/>
    <w:rsid w:val="001062DA"/>
    <w:rsid w:val="00146DFE"/>
    <w:rsid w:val="001726CE"/>
    <w:rsid w:val="0017606F"/>
    <w:rsid w:val="00194C09"/>
    <w:rsid w:val="001A4538"/>
    <w:rsid w:val="001F4287"/>
    <w:rsid w:val="00200FB4"/>
    <w:rsid w:val="002048AE"/>
    <w:rsid w:val="00245084"/>
    <w:rsid w:val="00250FE9"/>
    <w:rsid w:val="00280380"/>
    <w:rsid w:val="002838D3"/>
    <w:rsid w:val="00294B0B"/>
    <w:rsid w:val="002C52A2"/>
    <w:rsid w:val="002D0329"/>
    <w:rsid w:val="002E4844"/>
    <w:rsid w:val="002E4F2C"/>
    <w:rsid w:val="002F3546"/>
    <w:rsid w:val="003015D1"/>
    <w:rsid w:val="00312AB0"/>
    <w:rsid w:val="003134D5"/>
    <w:rsid w:val="00332C0F"/>
    <w:rsid w:val="00334BB1"/>
    <w:rsid w:val="00340103"/>
    <w:rsid w:val="0036267B"/>
    <w:rsid w:val="00362739"/>
    <w:rsid w:val="00366C42"/>
    <w:rsid w:val="0038034B"/>
    <w:rsid w:val="00390FFC"/>
    <w:rsid w:val="00395ACB"/>
    <w:rsid w:val="003A60BF"/>
    <w:rsid w:val="003C6B50"/>
    <w:rsid w:val="003D3225"/>
    <w:rsid w:val="003E7BDB"/>
    <w:rsid w:val="003F6D76"/>
    <w:rsid w:val="00400A73"/>
    <w:rsid w:val="004027D6"/>
    <w:rsid w:val="0041414D"/>
    <w:rsid w:val="00423EEF"/>
    <w:rsid w:val="004C7201"/>
    <w:rsid w:val="004D61CD"/>
    <w:rsid w:val="005143EA"/>
    <w:rsid w:val="005157A1"/>
    <w:rsid w:val="00561311"/>
    <w:rsid w:val="0056367C"/>
    <w:rsid w:val="005776C2"/>
    <w:rsid w:val="005837D7"/>
    <w:rsid w:val="005A7A64"/>
    <w:rsid w:val="005B6088"/>
    <w:rsid w:val="005C650D"/>
    <w:rsid w:val="00600163"/>
    <w:rsid w:val="00600ED7"/>
    <w:rsid w:val="00621FF6"/>
    <w:rsid w:val="00670489"/>
    <w:rsid w:val="00675EA0"/>
    <w:rsid w:val="00682C1C"/>
    <w:rsid w:val="00690E00"/>
    <w:rsid w:val="006D541D"/>
    <w:rsid w:val="006D5B4A"/>
    <w:rsid w:val="006F360A"/>
    <w:rsid w:val="00704FD1"/>
    <w:rsid w:val="00706FAA"/>
    <w:rsid w:val="007547F5"/>
    <w:rsid w:val="00760B1C"/>
    <w:rsid w:val="007616A2"/>
    <w:rsid w:val="007C034E"/>
    <w:rsid w:val="007D3EC8"/>
    <w:rsid w:val="007F579B"/>
    <w:rsid w:val="00860671"/>
    <w:rsid w:val="00876BD8"/>
    <w:rsid w:val="008C1776"/>
    <w:rsid w:val="008D15C4"/>
    <w:rsid w:val="008D211E"/>
    <w:rsid w:val="008F1C69"/>
    <w:rsid w:val="008F233B"/>
    <w:rsid w:val="00907D21"/>
    <w:rsid w:val="00913EBD"/>
    <w:rsid w:val="00965099"/>
    <w:rsid w:val="009E2279"/>
    <w:rsid w:val="009E2643"/>
    <w:rsid w:val="00A36E86"/>
    <w:rsid w:val="00A41BBB"/>
    <w:rsid w:val="00A44FE8"/>
    <w:rsid w:val="00A516A3"/>
    <w:rsid w:val="00A61401"/>
    <w:rsid w:val="00A74AF0"/>
    <w:rsid w:val="00AB100E"/>
    <w:rsid w:val="00AE3ACA"/>
    <w:rsid w:val="00AF33E8"/>
    <w:rsid w:val="00AF3605"/>
    <w:rsid w:val="00B0404F"/>
    <w:rsid w:val="00B1155C"/>
    <w:rsid w:val="00B168FD"/>
    <w:rsid w:val="00B33BB5"/>
    <w:rsid w:val="00B36447"/>
    <w:rsid w:val="00B50637"/>
    <w:rsid w:val="00B94BCE"/>
    <w:rsid w:val="00BA22D0"/>
    <w:rsid w:val="00BA5D5B"/>
    <w:rsid w:val="00BD0249"/>
    <w:rsid w:val="00BD7E34"/>
    <w:rsid w:val="00BF538C"/>
    <w:rsid w:val="00C01FDA"/>
    <w:rsid w:val="00C1321E"/>
    <w:rsid w:val="00C21B0B"/>
    <w:rsid w:val="00C42980"/>
    <w:rsid w:val="00C43181"/>
    <w:rsid w:val="00C56009"/>
    <w:rsid w:val="00C57839"/>
    <w:rsid w:val="00C64FF2"/>
    <w:rsid w:val="00C85F59"/>
    <w:rsid w:val="00CA250B"/>
    <w:rsid w:val="00CE4753"/>
    <w:rsid w:val="00CE542B"/>
    <w:rsid w:val="00CF0E48"/>
    <w:rsid w:val="00CF50F5"/>
    <w:rsid w:val="00D102DF"/>
    <w:rsid w:val="00D158D4"/>
    <w:rsid w:val="00D32FC4"/>
    <w:rsid w:val="00D352C0"/>
    <w:rsid w:val="00D45B64"/>
    <w:rsid w:val="00D534FE"/>
    <w:rsid w:val="00D814BF"/>
    <w:rsid w:val="00D82278"/>
    <w:rsid w:val="00DC6D93"/>
    <w:rsid w:val="00E22BDE"/>
    <w:rsid w:val="00E5292C"/>
    <w:rsid w:val="00E546B0"/>
    <w:rsid w:val="00E6539A"/>
    <w:rsid w:val="00E81780"/>
    <w:rsid w:val="00E87391"/>
    <w:rsid w:val="00E92D9A"/>
    <w:rsid w:val="00E93E1D"/>
    <w:rsid w:val="00EC2F88"/>
    <w:rsid w:val="00ED0A31"/>
    <w:rsid w:val="00ED3DF8"/>
    <w:rsid w:val="00EF3659"/>
    <w:rsid w:val="00EF6E68"/>
    <w:rsid w:val="00F00C3E"/>
    <w:rsid w:val="00F04E6F"/>
    <w:rsid w:val="00F16209"/>
    <w:rsid w:val="00F3085F"/>
    <w:rsid w:val="00F869DD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5E2C"/>
  <w15:chartTrackingRefBased/>
  <w15:docId w15:val="{C2012E10-C47C-48A8-AF18-79A18C9A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table" w:styleId="TableGrid">
    <w:name w:val="Table Grid"/>
    <w:basedOn w:val="TableNormal"/>
    <w:uiPriority w:val="39"/>
    <w:rsid w:val="0028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2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1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1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1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7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100.ci/2021/03/07/mulltiverse-analysi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62-020-0912-z" TargetMode="External"/><Relationship Id="rId12" Type="http://schemas.openxmlformats.org/officeDocument/2006/relationships/hyperlink" Target="https://doi.org/10.1177/25152459209549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177/25152459209549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100.ci/2021/03/07/mulltiverse-analysis/" TargetMode="External"/><Relationship Id="rId5" Type="http://schemas.openxmlformats.org/officeDocument/2006/relationships/hyperlink" Target="https://doi.org/10.1177/2515245920954925" TargetMode="External"/><Relationship Id="rId15" Type="http://schemas.openxmlformats.org/officeDocument/2006/relationships/hyperlink" Target="https://doi.org/10.1177/2515245920954925" TargetMode="External"/><Relationship Id="rId4" Type="http://schemas.openxmlformats.org/officeDocument/2006/relationships/webSettings" Target="webSettings.xml"/><Relationship Id="rId14" Type="http://schemas.openxmlformats.org/officeDocument/2006/relationships/hyperlink" Target="https://doi.org/10.1038/s41562-020-0912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Vermeent, P.C.S. (Stefan)</dc:creator>
  <cp:keywords/>
  <dc:description/>
  <cp:lastModifiedBy>Vermeent, P.C.S. (Stefan)</cp:lastModifiedBy>
  <cp:revision>145</cp:revision>
  <dcterms:created xsi:type="dcterms:W3CDTF">2023-07-27T07:14:00Z</dcterms:created>
  <dcterms:modified xsi:type="dcterms:W3CDTF">2024-03-04T18:37:00Z</dcterms:modified>
</cp:coreProperties>
</file>