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FFFF" w:sz="6"/>
        </w:pBdr>
        <w:shd w:fill="1D9E75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MergeTrace — Checklist</w:t>
      </w:r>
    </w:p>
    <w:p>
      <w:pPr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Release/Deploy —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Standardize release and build evidence recording.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Merge completed; Release Notes generated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Release deployed; Release Notes published; Deploy and monitoring logs</w:t>
            </w:r>
          </w:p>
        </w:tc>
      </w:tr>
    </w:tbl>
    <w:p>
      <w:pPr>
        <w:spacing w:after="0" w:before="20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Pre-conditions (Inputs)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Merge completed with approved integration build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Release Notes generated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Release Notes published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 performed via pipeline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 logs recorded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Post-deploy monitoring executed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922B21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Quality Gate (Blocking)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22B21"/>
          <w:sz w:val="18"/>
          <w:szCs w:val="18"/>
        </w:rPr>
        <w:t xml:space="preserve">⛔ All items below are BLOCKING — do not advance without completing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Standardized Release Notes published per Release Notes Standard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Release deployed and monitoring logs recorded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pacing w:after="0" w:before="320"/>
      </w:pPr>
    </w:p>
    <w:p>
      <w:pPr>
        <w:pBdr>
          <w:top w:val="single" w:color="1D9E75" w:sz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MergeTrace · Stéfani Celestino Rees · UNISINOS · PPG Computação Aplicada ·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2026-04-27T23:13:27.186Z</dcterms:created>
  <dcterms:modified xsi:type="dcterms:W3CDTF">2026-04-27T23:13:27.186Z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