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6B3A" w:val="clear"/>
        <w:spacing w:before="200" w:after="200"/>
        <w:ind w:left="200" w:right="2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MergeTrace — Merge: Checklist</w:t>
      </w:r>
    </w:p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Propósito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Garantir integração segura e rastreável na branch principal.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Quality Gate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Conflict Resolution Procedure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Entradas (Required Artifacts)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 aprovado; Relatório de QA; Branch sincronizada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Saídas (Produced Artifacts)</w:t>
            </w:r>
          </w:p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 commit ou squash; Build de integração; Histórico de conflitos; Release Notes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1B6B3A"/>
                <w:sz w:val="24"/>
                <w:szCs w:val="24"/>
              </w:rPr>
              <w:t xml:space="preserve">📋  Pré-condições (Entradas)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 aprovado e Relatório de QA disponível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Branch atualizada imediatamente antes do merge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Pipeline CI/CD aprovado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1B6B3A"/>
                <w:sz w:val="24"/>
                <w:szCs w:val="24"/>
              </w:rPr>
              <w:t xml:space="preserve">⚙️  Execução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Conflitos identificados e resolvidos colaborativamente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Causas, decisões e histórico de resolução registrados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Build de integração executado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Release Notes geradas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Rastreabilidade ticket ↔ PR ↔ merge garantida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1B6B3A"/>
                <w:sz w:val="24"/>
                <w:szCs w:val="24"/>
              </w:rPr>
              <w:t xml:space="preserve">🚦  Quality Gate (Bloqueante)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Todos os conflitos resolvidos e registrados antes de avançar</w:t>
            </w:r>
          </w:p>
          <w:p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Build de integração aprovado</w:t>
            </w:r>
          </w:p>
        </w:tc>
      </w:tr>
    </w:tbl>
    <w:p>
      <w:pPr>
        <w:spacing w:before="100"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13"/>
        <w:gridCol w:w="3013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Developer A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Assinatura: ___________________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Data: _____ / _____ / _______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Developer B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Assinatura: ___________________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Data: _____ / _____ / _______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Mediador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Assinatura: ___________________</w:t>
            </w:r>
          </w:p>
          <w:p>
            <w:r>
              <w:rPr>
                <w:rFonts w:ascii="Arial" w:cs="Arial" w:eastAsia="Arial" w:hAnsi="Arial"/>
                <w:color w:val="999999"/>
                <w:sz w:val="20"/>
                <w:szCs w:val="20"/>
              </w:rPr>
              <w:t xml:space="preserve">Data: _____ / _____ / _______</w:t>
            </w:r>
          </w:p>
        </w:tc>
      </w:tr>
    </w:tbl>
    <w:p>
      <w:pPr>
        <w:spacing w:before="100" w:after="1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16"/>
          <w:szCs w:val="16"/>
        </w:rPr>
        <w:t xml:space="preserve">MergeTrace · Guidelines para Merge de Software Orientados à Qualidade · UNISINOS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2026-03-30T00:36:05.381Z</dcterms:created>
  <dcterms:modified xsi:type="dcterms:W3CDTF">2026-03-30T00:36:05.381Z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