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7"/>
        </w:numPr>
        <w:rPr/>
      </w:pPr>
      <w:bookmarkStart w:colFirst="0" w:colLast="0" w:name="_p3m02tka67jj" w:id="0"/>
      <w:bookmarkEnd w:id="0"/>
      <w:r w:rsidDel="00000000" w:rsidR="00000000" w:rsidRPr="00000000">
        <w:rPr>
          <w:rtl w:val="0"/>
        </w:rPr>
        <w:t xml:space="preserve">Introducción a las Interfaces de Salida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Los IDocs de salida se pueden generar mediante: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95875" cy="2695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OUTPUT TYPES: </w:t>
      </w:r>
      <w:r w:rsidDel="00000000" w:rsidR="00000000" w:rsidRPr="00000000">
        <w:rPr>
          <w:rtl w:val="0"/>
        </w:rPr>
        <w:t xml:space="preserve">Método de generación de IDocs de salida que se utiliza para datos transaccionales, como documentos de negocio, un pedido o factura. Pra ello, la aplicación debe ser </w:t>
      </w:r>
      <w:r w:rsidDel="00000000" w:rsidR="00000000" w:rsidRPr="00000000">
        <w:rPr>
          <w:b w:val="1"/>
          <w:rtl w:val="0"/>
        </w:rPr>
        <w:t xml:space="preserve">EDI/Ale Enable.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Los </w:t>
      </w:r>
      <w:r w:rsidDel="00000000" w:rsidR="00000000" w:rsidRPr="00000000">
        <w:rPr>
          <w:b w:val="1"/>
          <w:rtl w:val="0"/>
        </w:rPr>
        <w:t xml:space="preserve">Punteros de modificación </w:t>
      </w:r>
      <w:r w:rsidDel="00000000" w:rsidR="00000000" w:rsidRPr="00000000">
        <w:rPr>
          <w:rtl w:val="0"/>
        </w:rPr>
        <w:t xml:space="preserve">y los </w:t>
      </w:r>
      <w:r w:rsidDel="00000000" w:rsidR="00000000" w:rsidRPr="00000000">
        <w:rPr>
          <w:b w:val="1"/>
          <w:rtl w:val="0"/>
        </w:rPr>
        <w:t xml:space="preserve">Programas extractores</w:t>
      </w:r>
      <w:r w:rsidDel="00000000" w:rsidR="00000000" w:rsidRPr="00000000">
        <w:rPr>
          <w:rtl w:val="0"/>
        </w:rPr>
        <w:t xml:space="preserve">, se utilizan para replicar datos maestros o modificaciones de los mismos.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Los tipos de salida u Output Type se crean a través de la  Transacción NACE. Al crear el tipo de salida se genera de forma automática registros en las tablas NAST y TNAPR. Vale la pena destacar que generalmente los tipos de salida son creados por los administradores del sistema SAP o SAP BASIS.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numPr>
          <w:ilvl w:val="0"/>
          <w:numId w:val="7"/>
        </w:numPr>
        <w:ind w:firstLine="360"/>
        <w:rPr/>
      </w:pPr>
      <w:bookmarkStart w:colFirst="0" w:colLast="0" w:name="_cmki56r8utwa" w:id="1"/>
      <w:bookmarkEnd w:id="1"/>
      <w:r w:rsidDel="00000000" w:rsidR="00000000" w:rsidRPr="00000000">
        <w:rPr>
          <w:rtl w:val="0"/>
        </w:rPr>
        <w:t xml:space="preserve">Output Types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El manejo del lado funcional es el mismo utilizado para impresión de formularios: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define un Output Message (mensaje de salida), configurado como salida ALE/ EDI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asocia dicho mensaje al documento que desea enviarse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configurar además, el mensaje de logística en la herramienta ALE (en el Acuerdo de interlocutores)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Los pasos para configurar un mensaje vía Output type son: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Identificamos el tipo de mensaje IDoc a enviar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Definimos el código de proceso de salida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Definimos el puerto de salida y la forma de envío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Definimos (en el caso en que sea necesario) la función de la puerta ABAP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ageBreakBefore w:val="0"/>
        <w:numPr>
          <w:ilvl w:val="0"/>
          <w:numId w:val="7"/>
        </w:numPr>
        <w:ind w:firstLine="360"/>
        <w:rPr/>
      </w:pPr>
      <w:bookmarkStart w:colFirst="0" w:colLast="0" w:name="_gxfez8889jbb" w:id="2"/>
      <w:bookmarkEnd w:id="2"/>
      <w:r w:rsidDel="00000000" w:rsidR="00000000" w:rsidRPr="00000000">
        <w:rPr>
          <w:rtl w:val="0"/>
        </w:rPr>
        <w:t xml:space="preserve">Código de proceso de salida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También llamado Process Code de salida, es el que indica como se debe procesar el IDoc de salida. A diferencia de los códigos de proceso de entrada, que realmente procesan el IDoc, los códigos de proceso de salida, no graban información en el documento o en el objeto, sino que obtienen la información del mismo y la transforman a formato IDoc para poder ser enviada.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 definen códigos de proceso para cada tipo de Mensaje, y cada código de proceso está asociado a un módulo de función, que es el encargado de ejecutarlo.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Igualmente, todos los módulos de función estándar asociados a códigos de proceso, cuentan con una serie de ampliaciones, donde puede agregarse código Z, en caso que el Tipo Base vaya asociado a una ampliación Z.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Para definir códigos de procesos de salida Z, se utiliza la transacción WE41.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pageBreakBefore w:val="0"/>
        <w:numPr>
          <w:ilvl w:val="0"/>
          <w:numId w:val="7"/>
        </w:numPr>
        <w:ind w:firstLine="360"/>
        <w:rPr/>
      </w:pPr>
      <w:bookmarkStart w:colFirst="0" w:colLast="0" w:name="_i92nb575b8p2" w:id="3"/>
      <w:bookmarkEnd w:id="3"/>
      <w:r w:rsidDel="00000000" w:rsidR="00000000" w:rsidRPr="00000000">
        <w:rPr>
          <w:rtl w:val="0"/>
        </w:rPr>
        <w:t xml:space="preserve">Punteros de modificación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Utilizados para enviar o duplicar datos maestros en sistemas externos,  cuando  estos datos son creados o modificados.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Transacción BD61 para activación de punteros de modificación en forma global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Transacción BD50 para realizar la activación de los punteros de modificación por tipo de mensaje. Agregar una entrada para el mensaje deseado y marcarla como activa.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10000" cy="1266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Definir las tablas y campos relevantes para la generación de punteros de modificación mediante la transacción BD52. Primero introducimos el tipo de mensaje: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48200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Luego se ingresará el objeto de modificación, la tabla y el campo. Ahora debemos crear la relación entre el Tipo de mensaje y el módulo de función, en BD60. Previamente debemos crear el módulo de función.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Para crear el módulo de funciones Z, tomaremos el encabezado de un módulo estándar y agregaremos nuestro código. La lógica del módulo de función contendrá los siguientes pasos: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Leer los punteros de modificación generados usando la función CHANGE_POINTERS_READ.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los punteros de modificación para determinar cuáles son válidos.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Determinar la clave del documento de aplicación del paso anterior.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datos de aplicación de la base de datos, usando la clave de objeto identificada.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Completar la información del registro de control del IDoc.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Completar una tabla interna de estructura EDIDD con registro de datos para todos los segmentos.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Llamar al servicio MASTER_IDOC_DISTRIBUTE para crear los datos en la base de datos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Actualizar el estado de los punteros de modificación.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un COMMIT WORK.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Finalmente ejecutaremos el programa RBDMIDOC para ejecutar el IDoc, introduciendo el tipo de mensaje.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Otras transacciones estándar para punteros de modificación son: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BD21: para seleccionar punteros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BD22: para borrar punteros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BD40: para leer punteros de modificación para grupos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pageBreakBefore w:val="0"/>
        <w:numPr>
          <w:ilvl w:val="0"/>
          <w:numId w:val="7"/>
        </w:numPr>
        <w:ind w:firstLine="360"/>
        <w:rPr/>
      </w:pPr>
      <w:bookmarkStart w:colFirst="0" w:colLast="0" w:name="_t45s6dac5gbw" w:id="4"/>
      <w:bookmarkEnd w:id="4"/>
      <w:r w:rsidDel="00000000" w:rsidR="00000000" w:rsidRPr="00000000">
        <w:rPr>
          <w:rtl w:val="0"/>
        </w:rPr>
        <w:t xml:space="preserve">Programas de extracción estándar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Los programas estándar para crear IDOCS, se utilizan para enviar a los sistemas receptores, datos maestros en forma masiva, para cargas iniciales, por ejemplo, donde se desea replicar gran parte de los datos  maestros  del sistema central a los subsistemas del ambiente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Algunos programas extractores estándar son: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BD10. Maestro de Materiales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BD12. Maestro de Clientes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BD14. Maestro de Proveedores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Podemos programar los propios programas extractores generadores de IDocs. Estos programas utilizan el módulo de función MASTER_IDOC_DISTRIBUTE para distribuir la información generada a los sistemas receptores.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pageBreakBefore w:val="0"/>
        <w:numPr>
          <w:ilvl w:val="0"/>
          <w:numId w:val="7"/>
        </w:numPr>
        <w:ind w:firstLine="360"/>
        <w:rPr/>
      </w:pPr>
      <w:bookmarkStart w:colFirst="0" w:colLast="0" w:name="_iwpei8trglbl" w:id="5"/>
      <w:bookmarkEnd w:id="5"/>
      <w:r w:rsidDel="00000000" w:rsidR="00000000" w:rsidRPr="00000000">
        <w:rPr>
          <w:rtl w:val="0"/>
        </w:rPr>
        <w:t xml:space="preserve">Programas de extracción Z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Pasos para seguir para la creación de un IDOC de salida son: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la información de la base de datos de acuerdo a los parámetros de selección ingresados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Completar la información correspondiente al registro de control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Completar una tabla interna de tipo EDIDD con los registros de datos de los segmentos correspondientes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Llamar al servicio de la capa ALE MASTER_IDOC_DISTRIBUTE para crear los IDocs en la base de datos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un COMMIT WORK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el IDoc a su destinatario invocando al programa RSEOUT00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Una vez completados estos pasos, queda creado el Idoc. El mismo se guarda físicamente en las tablas EDIDC y EDID4. Se lo puede ver desde la transición WE05.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