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F61529" w14:textId="3891145D" w:rsidR="002E03F2" w:rsidRPr="00C95A48" w:rsidRDefault="00C95A48" w:rsidP="00C95A48">
      <w:pPr>
        <w:pStyle w:val="Heading1"/>
        <w:spacing w:before="0" w:after="120" w:line="240" w:lineRule="auto"/>
        <w:rPr>
          <w:rFonts w:ascii="Aptos" w:hAnsi="Aptos"/>
          <w:b/>
          <w:sz w:val="26"/>
        </w:rPr>
      </w:pPr>
      <w:r w:rsidRPr="00C95A48">
        <w:rPr>
          <w:rFonts w:ascii="Aptos" w:hAnsi="Aptos"/>
          <w:b/>
          <w:sz w:val="26"/>
        </w:rPr>
        <w:t>Godwit — Next Steps: Registering an Austrian Business</w:t>
      </w:r>
    </w:p>
    <w:p w14:paraId="626ADC44" w14:textId="0AD45505" w:rsidR="00C95A48" w:rsidRPr="00C95A48" w:rsidRDefault="00C95A48" w:rsidP="00C95A48">
      <w:p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Plan for launching Godwit in Austria (separate from TODO.md). Completed/resolved topics, including the Magistrat der Stadt Villach visit (2026-09-16), are in DONE.md. This file covers what's open: Friday's WKO appointment and the immediate follow-up.</w:t>
      </w:r>
    </w:p>
    <w:p w14:paraId="5FD85F7E" w14:textId="2EC5C94C" w:rsidR="00C95A48" w:rsidRPr="00C95A48" w:rsidRDefault="00C95A48" w:rsidP="00C95A48">
      <w:pPr>
        <w:pStyle w:val="Heading2"/>
        <w:spacing w:line="240" w:lineRule="auto"/>
        <w:rPr>
          <w:rFonts w:ascii="Aptos" w:hAnsi="Aptos"/>
          <w:b/>
          <w:sz w:val="22"/>
        </w:rPr>
      </w:pPr>
      <w:r w:rsidRPr="00C95A48">
        <w:rPr>
          <w:rFonts w:ascii="Aptos" w:hAnsi="Aptos"/>
          <w:b/>
          <w:sz w:val="22"/>
        </w:rPr>
        <w:t>Context</w:t>
      </w:r>
    </w:p>
    <w:p w14:paraId="1D144C74" w14:textId="123A23D7" w:rsidR="00C95A48" w:rsidRPr="00C95A48" w:rsidRDefault="00C95A48" w:rsidP="00C95A48">
      <w:pPr>
        <w:pStyle w:val="ListParagraph"/>
        <w:numPr>
          <w:ilvl w:val="0"/>
          <w:numId w:val="1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Godwit hasn't launched — no venue confirmed yet.</w:t>
      </w:r>
    </w:p>
    <w:p w14:paraId="3CFB5D61" w14:textId="1EFA5579" w:rsidR="00C95A48" w:rsidRPr="00C95A48" w:rsidRDefault="00C95A48" w:rsidP="00C95A48">
      <w:pPr>
        <w:pStyle w:val="ListParagraph"/>
        <w:numPr>
          <w:ilvl w:val="0"/>
          <w:numId w:val="1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Employed (ASVG-insured); traveling 9 months from 2026-09-22 as an approved business trip — Austrian tax residency isn't in question.</w:t>
      </w:r>
    </w:p>
    <w:p w14:paraId="064BA4B5" w14:textId="5C9F25AA" w:rsidR="00C95A48" w:rsidRPr="00C95A48" w:rsidRDefault="00C95A48" w:rsidP="00C95A48">
      <w:pPr>
        <w:pStyle w:val="ListParagraph"/>
        <w:numPr>
          <w:ilvl w:val="0"/>
          <w:numId w:val="1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Have ID Austria + a partner in Austria for remote filings while away.</w:t>
      </w:r>
    </w:p>
    <w:p w14:paraId="28EB0EAF" w14:textId="517ACBF7" w:rsidR="00C95A48" w:rsidRPr="00C95A48" w:rsidRDefault="00C95A48" w:rsidP="00C95A48">
      <w:pPr>
        <w:pStyle w:val="ListParagraph"/>
        <w:numPr>
          <w:ilvl w:val="0"/>
          <w:numId w:val="1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Revenue = subscriptions + 9% platform commission on donations (Stripe Connect); only these count as turnover, not the 91% pass-through. No separate payment license needed (Stripe is the licensed processor).</w:t>
      </w:r>
    </w:p>
    <w:p w14:paraId="6B91BFDF" w14:textId="0CDFFDB2" w:rsidR="00C95A48" w:rsidRPr="00C95A48" w:rsidRDefault="00C95A48" w:rsidP="00C95A48">
      <w:pPr>
        <w:pStyle w:val="Heading2"/>
        <w:spacing w:line="240" w:lineRule="auto"/>
        <w:rPr>
          <w:rFonts w:ascii="Aptos" w:hAnsi="Aptos"/>
          <w:b/>
          <w:sz w:val="22"/>
        </w:rPr>
      </w:pPr>
      <w:r w:rsidRPr="00C95A48">
        <w:rPr>
          <w:rFonts w:ascii="Aptos" w:hAnsi="Aptos"/>
          <w:b/>
          <w:sz w:val="22"/>
        </w:rPr>
        <w:t>The core decision</w:t>
      </w:r>
    </w:p>
    <w:p w14:paraId="496A44D8" w14:textId="565B31CD" w:rsidR="00C95A48" w:rsidRPr="00C95A48" w:rsidRDefault="00C95A48" w:rsidP="00C95A48">
      <w:p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Gewerbetreibender vs. "Neue Selbständige" — determines WKO membership/Kammerumlage and SVS obligations; subscriptions + commission lean toward Gewerbe, but confirm. With no venue yet, don't rush: if Neue Selbständige applies, register early (low risk); if a Gewerbeschein is required, wait until a venue is close to signing before ongoing costs (SVS, Kammerumlage) start. Either way, registration can happen remotely (usp.gv.at + ID Austria + FinanzOnline) with the partner's help once that trigger arrives.</w:t>
      </w:r>
    </w:p>
    <w:p w14:paraId="0CDC608A" w14:textId="453610F0" w:rsidR="00C95A48" w:rsidRPr="00C95A48" w:rsidRDefault="00C95A48" w:rsidP="00C95A48">
      <w:pPr>
        <w:pStyle w:val="Heading2"/>
        <w:spacing w:line="240" w:lineRule="auto"/>
        <w:rPr>
          <w:rFonts w:ascii="Aptos" w:hAnsi="Aptos"/>
          <w:b/>
          <w:sz w:val="22"/>
        </w:rPr>
      </w:pPr>
      <w:r w:rsidRPr="00C95A48">
        <w:rPr>
          <w:rFonts w:ascii="Aptos" w:hAnsi="Aptos"/>
          <w:b/>
          <w:sz w:val="22"/>
        </w:rPr>
        <w:t>Friday morning — WKO Gründerservice (last Austria stop before the flight)</w:t>
      </w:r>
    </w:p>
    <w:p w14:paraId="218D4FAB" w14:textId="48A12092" w:rsidR="00C95A48" w:rsidRPr="00C95A48" w:rsidRDefault="00C95A48" w:rsidP="00C95A48">
      <w:p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Free advisory, not a registration. Bring passport/ID, Meldezettel, ID Austria, this document. Last in-person day for 9 months — get complete answers, NeuFöG paperwork if it applies, and whether anything needs relaying to the Magistrat afterward.</w:t>
      </w:r>
    </w:p>
    <w:p w14:paraId="6B3AC4E9" w14:textId="7DF3C6D2" w:rsidR="00C95A48" w:rsidRPr="00C95A48" w:rsidRDefault="00C95A48" w:rsidP="00C95A48">
      <w:p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Say: "I'm launching a SaaS QR-code feedback/polling product — revenue is subscriptions plus a 9% commission on donations. I'm employed and insured through my job, no venue signed yet. I already spoke with the Magistrat, and I fly abroad for 9 months right after this meeting."</w:t>
      </w:r>
    </w:p>
    <w:p w14:paraId="795C3D7A" w14:textId="6D0B05F2" w:rsidR="00C95A48" w:rsidRPr="00C95A48" w:rsidRDefault="00C95A48" w:rsidP="00C95A48">
      <w:p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Classification &amp; fees:</w:t>
      </w:r>
    </w:p>
    <w:p w14:paraId="2D4C8EB2" w14:textId="4F4524F5" w:rsidR="00C95A48" w:rsidRPr="00C95A48" w:rsidRDefault="00C95A48" w:rsidP="00C95A48">
      <w:pPr>
        <w:pStyle w:val="ListParagraph"/>
        <w:numPr>
          <w:ilvl w:val="0"/>
          <w:numId w:val="2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Which trade category fits this business?</w:t>
      </w:r>
    </w:p>
    <w:p w14:paraId="480DAA25" w14:textId="508CE54A" w:rsidR="00C95A48" w:rsidRPr="00C95A48" w:rsidRDefault="00C95A48" w:rsidP="00C95A48">
      <w:pPr>
        <w:pStyle w:val="ListParagraph"/>
        <w:numPr>
          <w:ilvl w:val="0"/>
          <w:numId w:val="2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Does it qualify as "Neue Selbständige" instead of a full Gewerbeschein?</w:t>
      </w:r>
    </w:p>
    <w:p w14:paraId="36DCD2B9" w14:textId="29884BF0" w:rsidR="00C95A48" w:rsidRPr="00C95A48" w:rsidRDefault="00C95A48" w:rsidP="00C95A48">
      <w:pPr>
        <w:pStyle w:val="ListParagraph"/>
        <w:numPr>
          <w:ilvl w:val="0"/>
          <w:numId w:val="2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If Gewerbeschein required: exact fees, and NeuFöG first-founder relief — paperwork today?</w:t>
      </w:r>
    </w:p>
    <w:p w14:paraId="0381E705" w14:textId="2820CC1C" w:rsidR="00C95A48" w:rsidRPr="00C95A48" w:rsidRDefault="00C95A48" w:rsidP="00C95A48">
      <w:pPr>
        <w:pStyle w:val="ListParagraph"/>
        <w:numPr>
          <w:ilvl w:val="0"/>
          <w:numId w:val="2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Kleinunternehmerregelung: only subscription + 9% commission counts, not the donation pass-through — confirm, and the exact current threshold (€35,000 vs €42,000 quoted)?</w:t>
      </w:r>
    </w:p>
    <w:p w14:paraId="2D0B5DF8" w14:textId="51F062DB" w:rsidR="00C95A48" w:rsidRPr="00C95A48" w:rsidRDefault="00C95A48" w:rsidP="00C95A48">
      <w:pPr>
        <w:pStyle w:val="ListParagraph"/>
        <w:numPr>
          <w:ilvl w:val="0"/>
          <w:numId w:val="2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Recommend a Steuerberater used to solo software/SaaS businesses?</w:t>
      </w:r>
    </w:p>
    <w:p w14:paraId="494E0A5D" w14:textId="5F4E196D" w:rsidR="00C95A48" w:rsidRPr="00C95A48" w:rsidRDefault="00C95A48" w:rsidP="00C95A48">
      <w:pPr>
        <w:pStyle w:val="ListParagraph"/>
        <w:numPr>
          <w:ilvl w:val="0"/>
          <w:numId w:val="2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Anything today need relaying to the Magistrat, given no in-person visit for 9 months?</w:t>
      </w:r>
    </w:p>
    <w:p w14:paraId="6E6CCF00" w14:textId="6FE28E62" w:rsidR="00C95A48" w:rsidRPr="00C95A48" w:rsidRDefault="00C95A48" w:rsidP="00C95A48">
      <w:pPr>
        <w:pStyle w:val="ListParagraph"/>
        <w:numPr>
          <w:ilvl w:val="0"/>
          <w:numId w:val="2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Can the trade category be phrased broadly (general IT/software services) to cover future apps under the same Einzelunternehmen without re-registering? Do thresholds combine per entity or per app?</w:t>
      </w:r>
    </w:p>
    <w:p w14:paraId="32E0A9E5" w14:textId="6C809994" w:rsidR="00C95A48" w:rsidRPr="00C95A48" w:rsidRDefault="00C95A48" w:rsidP="00C95A48">
      <w:p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Ownership (Stefano EU/employed; Mariia Ukrainian, currently unemployed):</w:t>
      </w:r>
    </w:p>
    <w:p w14:paraId="3301F0D3" w14:textId="2FDD7D95" w:rsidR="00C95A48" w:rsidRPr="00C95A48" w:rsidRDefault="00C95A48" w:rsidP="00C95A48">
      <w:pPr>
        <w:pStyle w:val="ListParagraph"/>
        <w:numPr>
          <w:ilvl w:val="0"/>
          <w:numId w:val="3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Can Mariia hold her own Gewerbeberechtigung/be a GesbR partner, or does her temporary-protection status limit her to dependent employment only?</w:t>
      </w:r>
    </w:p>
    <w:p w14:paraId="76838DA2" w14:textId="7FFF3BBF" w:rsidR="00C95A48" w:rsidRPr="00C95A48" w:rsidRDefault="00C95A48" w:rsidP="00C95A48">
      <w:pPr>
        <w:pStyle w:val="ListParagraph"/>
        <w:numPr>
          <w:ilvl w:val="0"/>
          <w:numId w:val="3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If not: start Stefano solo now, cover Mariia via a private co-founder agreement, convert to GesbR later — template or lawyer referral?</w:t>
      </w:r>
    </w:p>
    <w:p w14:paraId="0F9270D4" w14:textId="26A02CA1" w:rsidR="00C95A48" w:rsidRPr="00C95A48" w:rsidRDefault="00C95A48" w:rsidP="00C95A48">
      <w:pPr>
        <w:pStyle w:val="ListParagraph"/>
        <w:numPr>
          <w:ilvl w:val="0"/>
          <w:numId w:val="3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Would a GmbH (Gründungsprivilegierung, ~€10,000 capital) separate ownership from the trade license more cleanly? Overkill pre-revenue?</w:t>
      </w:r>
    </w:p>
    <w:p w14:paraId="748B7F51" w14:textId="4D218FB2" w:rsidR="00C95A48" w:rsidRPr="00C95A48" w:rsidRDefault="00C95A48" w:rsidP="00C95A48">
      <w:pPr>
        <w:pStyle w:val="ListParagraph"/>
        <w:numPr>
          <w:ilvl w:val="0"/>
          <w:numId w:val="3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Could Mariia's involvement, even unpaid, affect her AMS benefits — worth asking AMS first?</w:t>
      </w:r>
    </w:p>
    <w:p w14:paraId="74070A43" w14:textId="03578144" w:rsidR="00C95A48" w:rsidRPr="00C95A48" w:rsidRDefault="00C95A48" w:rsidP="00C95A48">
      <w:p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Nebenberuflich / GSVG threshold:</w:t>
      </w:r>
    </w:p>
    <w:p w14:paraId="744E852A" w14:textId="292BC04D" w:rsidR="00C95A48" w:rsidRPr="00C95A48" w:rsidRDefault="00C95A48" w:rsidP="00C95A48">
      <w:pPr>
        <w:pStyle w:val="ListParagraph"/>
        <w:numPr>
          <w:ilvl w:val="0"/>
          <w:numId w:val="4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Exact current "kleine Versicherungsgrenze" net-profit threshold before extra SVS contributions apply (only mandatory accident insurance below it)?</w:t>
      </w:r>
    </w:p>
    <w:p w14:paraId="50535D36" w14:textId="51FCBB86" w:rsidR="00C95A48" w:rsidRPr="00C95A48" w:rsidRDefault="00C95A48" w:rsidP="00C95A48">
      <w:pPr>
        <w:pStyle w:val="ListParagraph"/>
        <w:numPr>
          <w:ilvl w:val="0"/>
          <w:numId w:val="4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Going slightly over: retroactive for the full year? Any way to smooth it?</w:t>
      </w:r>
    </w:p>
    <w:p w14:paraId="24D31C98" w14:textId="2D8F2403" w:rsidR="00C95A48" w:rsidRPr="00C95A48" w:rsidRDefault="00C95A48" w:rsidP="00C95A48">
      <w:pPr>
        <w:pStyle w:val="ListParagraph"/>
        <w:numPr>
          <w:ilvl w:val="0"/>
          <w:numId w:val="4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If Mariia later registers Hauptberuflich: the "große Versicherungsgrenze" threshold, and her rough minimum SVS?</w:t>
      </w:r>
    </w:p>
    <w:p w14:paraId="56C0627C" w14:textId="19BED825" w:rsidR="00C95A48" w:rsidRPr="00C95A48" w:rsidRDefault="00C95A48" w:rsidP="00C95A48">
      <w:pPr>
        <w:pStyle w:val="Heading2"/>
        <w:spacing w:line="240" w:lineRule="auto"/>
        <w:rPr>
          <w:rFonts w:ascii="Aptos" w:hAnsi="Aptos"/>
          <w:b/>
          <w:sz w:val="22"/>
        </w:rPr>
      </w:pPr>
      <w:r w:rsidRPr="00C95A48">
        <w:rPr>
          <w:rFonts w:ascii="Aptos" w:hAnsi="Aptos"/>
          <w:b/>
          <w:sz w:val="22"/>
        </w:rPr>
        <w:t>Reference: thresholds</w:t>
      </w:r>
    </w:p>
    <w:p w14:paraId="02FF5DD1" w14:textId="0B3FEE46" w:rsidR="00C95A48" w:rsidRPr="00C95A48" w:rsidRDefault="00C95A48" w:rsidP="00C95A48">
      <w:pPr>
        <w:pStyle w:val="ListParagraph"/>
        <w:numPr>
          <w:ilvl w:val="0"/>
          <w:numId w:val="5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VAT/Kleinunternehmergrenze (~€35,000–42,000 turnover/year): under it, no VAT charged.</w:t>
      </w:r>
    </w:p>
    <w:p w14:paraId="6CA18388" w14:textId="134FC127" w:rsidR="00C95A48" w:rsidRPr="00C95A48" w:rsidRDefault="00C95A48" w:rsidP="00C95A48">
      <w:pPr>
        <w:pStyle w:val="ListParagraph"/>
        <w:numPr>
          <w:ilvl w:val="0"/>
          <w:numId w:val="5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GSVG kleine Grenze (~€6,200–6,900 net profit/year): stay under it and only a small flat accident-insurance fee applies (~€11–12/month) — a cliff, not a slope: cross it and SVS is due retroactively for the whole year.</w:t>
      </w:r>
    </w:p>
    <w:p w14:paraId="26AB43AB" w14:textId="6F4DE043" w:rsidR="00C95A48" w:rsidRPr="00C95A48" w:rsidRDefault="00C95A48" w:rsidP="00C95A48">
      <w:pPr>
        <w:pStyle w:val="ListParagraph"/>
        <w:numPr>
          <w:ilvl w:val="0"/>
          <w:numId w:val="5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Income tax always applies separately, stacking on employment income at the marginal rate.</w:t>
      </w:r>
    </w:p>
    <w:p w14:paraId="42EF3EED" w14:textId="3D030D13" w:rsidR="00C95A48" w:rsidRPr="00C95A48" w:rsidRDefault="00C95A48" w:rsidP="00C95A48">
      <w:pPr>
        <w:pStyle w:val="ListParagraph"/>
        <w:numPr>
          <w:ilvl w:val="0"/>
          <w:numId w:val="5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Bottom line: Stefano starts solo, Nebenberuflich, now; formalize Mariia's stake privately; convert to GesbR/GmbH later once WKO confirms her status.</w:t>
      </w:r>
    </w:p>
    <w:p w14:paraId="7C8CB4DA" w14:textId="415A58CC" w:rsidR="00C95A48" w:rsidRPr="00C95A48" w:rsidRDefault="00C95A48" w:rsidP="00C95A48">
      <w:pPr>
        <w:pStyle w:val="Heading2"/>
        <w:spacing w:line="240" w:lineRule="auto"/>
        <w:rPr>
          <w:rFonts w:ascii="Aptos" w:hAnsi="Aptos"/>
          <w:b/>
          <w:sz w:val="22"/>
        </w:rPr>
      </w:pPr>
      <w:r w:rsidRPr="00C95A48">
        <w:rPr>
          <w:rFonts w:ascii="Aptos" w:hAnsi="Aptos"/>
          <w:b/>
          <w:sz w:val="22"/>
        </w:rPr>
        <w:t>After WKO</w:t>
      </w:r>
    </w:p>
    <w:p w14:paraId="65E5F0F8" w14:textId="6E2A1B07" w:rsidR="00C95A48" w:rsidRPr="00C95A48" w:rsidRDefault="00C95A48" w:rsidP="00C95A48">
      <w:pPr>
        <w:pStyle w:val="ListParagraph"/>
        <w:numPr>
          <w:ilvl w:val="0"/>
          <w:numId w:val="6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SVS (free, phone/online): minimum contribution, ASVG exemption on GSVG, direct debit + digital delivery while abroad.</w:t>
      </w:r>
    </w:p>
    <w:p w14:paraId="17A348BC" w14:textId="43C432F1" w:rsidR="00C95A48" w:rsidRPr="00C95A48" w:rsidRDefault="00C95A48" w:rsidP="00C95A48">
      <w:pPr>
        <w:pStyle w:val="ListParagraph"/>
        <w:numPr>
          <w:ilvl w:val="0"/>
          <w:numId w:val="6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Steuerberater (paid, one-off video call): is the 9% commission its own VAT item vs. subscription revenue? Does 9 months in Penang, Malaysia create its own tax residency obligations?</w:t>
      </w:r>
    </w:p>
    <w:p w14:paraId="39887A2F" w14:textId="5CE17F0B" w:rsidR="00C95A48" w:rsidRPr="00C95A48" w:rsidRDefault="00C95A48" w:rsidP="00C95A48">
      <w:pPr>
        <w:pStyle w:val="Heading2"/>
        <w:spacing w:line="240" w:lineRule="auto"/>
        <w:rPr>
          <w:rFonts w:ascii="Aptos" w:hAnsi="Aptos"/>
          <w:b/>
          <w:sz w:val="22"/>
        </w:rPr>
      </w:pPr>
      <w:r w:rsidRPr="00C95A48">
        <w:rPr>
          <w:rFonts w:ascii="Aptos" w:hAnsi="Aptos"/>
          <w:b/>
          <w:sz w:val="22"/>
        </w:rPr>
        <w:t>What happens after this</w:t>
      </w:r>
    </w:p>
    <w:p w14:paraId="652BD043" w14:textId="117BDDE7" w:rsidR="00C95A48" w:rsidRPr="00C95A48" w:rsidRDefault="00C95A48" w:rsidP="00C95A48">
      <w:p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Once classification and VAT are confirmed, and a venue is ready:</w:t>
      </w:r>
    </w:p>
    <w:p w14:paraId="3FD2B523" w14:textId="26E39723" w:rsidR="00C95A48" w:rsidRPr="00C95A48" w:rsidRDefault="00C95A48" w:rsidP="00C95A48">
      <w:pPr>
        <w:pStyle w:val="ListParagraph"/>
        <w:numPr>
          <w:ilvl w:val="0"/>
          <w:numId w:val="7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Register via usp.gv.at with ID Austria (or the partner).</w:t>
      </w:r>
    </w:p>
    <w:p w14:paraId="12963107" w14:textId="60D95EFC" w:rsidR="00C95A48" w:rsidRPr="00C95A48" w:rsidRDefault="00C95A48" w:rsidP="00C95A48">
      <w:pPr>
        <w:pStyle w:val="ListParagraph"/>
        <w:numPr>
          <w:ilvl w:val="0"/>
          <w:numId w:val="7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Register with Finanzamt via FinanzOnline for a Steuernummer.</w:t>
      </w:r>
    </w:p>
    <w:p w14:paraId="32B83BC2" w14:textId="6CCC5D17" w:rsidR="00C95A48" w:rsidRPr="00C95A48" w:rsidRDefault="00C95A48" w:rsidP="00C95A48">
      <w:pPr>
        <w:pStyle w:val="ListParagraph"/>
        <w:numPr>
          <w:ilvl w:val="0"/>
          <w:numId w:val="7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If VAT applies: enable Stripe Tax, set STRIPE_TAX_ENABLED=1 in Vercel, redeploy (already wired in api/create-checkout-session.js).</w:t>
      </w:r>
    </w:p>
    <w:p w14:paraId="0CA68F19" w14:textId="3043C618" w:rsidR="00C95A48" w:rsidRPr="00C95A48" w:rsidRDefault="00C95A48" w:rsidP="00C95A48">
      <w:pPr>
        <w:pStyle w:val="ListParagraph"/>
        <w:numPr>
          <w:ilvl w:val="0"/>
          <w:numId w:val="7"/>
        </w:num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Onboard the first paying venue.</w:t>
      </w:r>
    </w:p>
    <w:p w14:paraId="46E091BC" w14:textId="533324C3" w:rsidR="00C95A48" w:rsidRPr="00C95A48" w:rsidRDefault="00C95A48" w:rsidP="00C95A48">
      <w:pPr>
        <w:spacing w:before="40" w:after="80" w:line="240" w:lineRule="auto"/>
        <w:rPr>
          <w:rFonts w:ascii="Aptos" w:hAnsi="Aptos"/>
          <w:sz w:val="21"/>
        </w:rPr>
      </w:pPr>
      <w:r w:rsidRPr="00C95A48">
        <w:rPr>
          <w:rFonts w:ascii="Aptos" w:hAnsi="Aptos"/>
          <w:sz w:val="21"/>
        </w:rPr>
        <w:t>Everything else in TODO.md is cosmetic and doesn't block invoicing or payments.</w:t>
      </w:r>
    </w:p>
    <w:p w14:paraId="5E2BD910" w14:textId="77777777" w:rsidR="00C95A48" w:rsidRPr="00213612" w:rsidRDefault="00C95A48">
      <w:pPr>
        <w:rPr>
          <w:rFonts w:ascii="Source Sans Pro" w:hAnsi="Source Sans Pro"/>
        </w:rPr>
      </w:pPr>
    </w:p>
    <w:sectPr w:rsidR="00C95A48" w:rsidRPr="00213612" w:rsidSect="00C95A48">
      <w:pgSz w:w="11906" w:h="16838" w:code="9"/>
      <w:pgMar w:top="1247" w:right="1247" w:bottom="1247" w:left="124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514E3"/>
    <w:multiLevelType w:val="singleLevel"/>
    <w:tmpl w:val="0C07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2B5A4A3C"/>
    <w:multiLevelType w:val="singleLevel"/>
    <w:tmpl w:val="0C07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" w15:restartNumberingAfterBreak="0">
    <w:nsid w:val="2FC31567"/>
    <w:multiLevelType w:val="singleLevel"/>
    <w:tmpl w:val="0C07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nsid w:val="38D57355"/>
    <w:multiLevelType w:val="singleLevel"/>
    <w:tmpl w:val="0C07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3FCA68A8"/>
    <w:multiLevelType w:val="singleLevel"/>
    <w:tmpl w:val="0C07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nsid w:val="544510C3"/>
    <w:multiLevelType w:val="singleLevel"/>
    <w:tmpl w:val="0C07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nsid w:val="57BA342B"/>
    <w:multiLevelType w:val="singleLevel"/>
    <w:tmpl w:val="0C07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047871406">
    <w:abstractNumId w:val="3"/>
  </w:num>
  <w:num w:numId="2" w16cid:durableId="1129392668">
    <w:abstractNumId w:val="4"/>
  </w:num>
  <w:num w:numId="3" w16cid:durableId="655110885">
    <w:abstractNumId w:val="2"/>
  </w:num>
  <w:num w:numId="4" w16cid:durableId="70660710">
    <w:abstractNumId w:val="1"/>
  </w:num>
  <w:num w:numId="5" w16cid:durableId="445275647">
    <w:abstractNumId w:val="6"/>
  </w:num>
  <w:num w:numId="6" w16cid:durableId="495464434">
    <w:abstractNumId w:val="0"/>
  </w:num>
  <w:num w:numId="7" w16cid:durableId="9481212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A48"/>
    <w:rsid w:val="00056650"/>
    <w:rsid w:val="001018A3"/>
    <w:rsid w:val="001440A1"/>
    <w:rsid w:val="00213612"/>
    <w:rsid w:val="002E03F2"/>
    <w:rsid w:val="0031394E"/>
    <w:rsid w:val="004C20E3"/>
    <w:rsid w:val="00B453E2"/>
    <w:rsid w:val="00C95A48"/>
    <w:rsid w:val="00ED3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5AE46"/>
  <w15:chartTrackingRefBased/>
  <w15:docId w15:val="{03A73817-C68A-4E1F-977A-6410C3591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0E3"/>
  </w:style>
  <w:style w:type="paragraph" w:styleId="Heading1">
    <w:name w:val="heading 1"/>
    <w:basedOn w:val="Normal"/>
    <w:next w:val="Normal"/>
    <w:link w:val="Heading1Char"/>
    <w:uiPriority w:val="9"/>
    <w:qFormat/>
    <w:rsid w:val="00C95A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76158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5A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76158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5A48"/>
    <w:pPr>
      <w:keepNext/>
      <w:keepLines/>
      <w:spacing w:before="160" w:after="80"/>
      <w:outlineLvl w:val="2"/>
    </w:pPr>
    <w:rPr>
      <w:rFonts w:eastAsiaTheme="majorEastAsia" w:cstheme="majorBidi"/>
      <w:color w:val="076158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A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7615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5A48"/>
    <w:pPr>
      <w:keepNext/>
      <w:keepLines/>
      <w:spacing w:before="80" w:after="40"/>
      <w:outlineLvl w:val="4"/>
    </w:pPr>
    <w:rPr>
      <w:rFonts w:eastAsiaTheme="majorEastAsia" w:cstheme="majorBidi"/>
      <w:color w:val="07615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5A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6B6B6B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5A48"/>
    <w:pPr>
      <w:keepNext/>
      <w:keepLines/>
      <w:spacing w:before="40" w:after="0"/>
      <w:outlineLvl w:val="6"/>
    </w:pPr>
    <w:rPr>
      <w:rFonts w:eastAsiaTheme="majorEastAsia" w:cstheme="majorBidi"/>
      <w:color w:val="6B6B6B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5A48"/>
    <w:pPr>
      <w:keepNext/>
      <w:keepLines/>
      <w:spacing w:after="0"/>
      <w:outlineLvl w:val="7"/>
    </w:pPr>
    <w:rPr>
      <w:rFonts w:eastAsiaTheme="majorEastAsia" w:cstheme="majorBidi"/>
      <w:i/>
      <w:iCs/>
      <w:color w:val="3F3F3F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5A48"/>
    <w:pPr>
      <w:keepNext/>
      <w:keepLines/>
      <w:spacing w:after="0"/>
      <w:outlineLvl w:val="8"/>
    </w:pPr>
    <w:rPr>
      <w:rFonts w:eastAsiaTheme="majorEastAsia" w:cstheme="majorBidi"/>
      <w:color w:val="3F3F3F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5A48"/>
    <w:rPr>
      <w:rFonts w:asciiTheme="majorHAnsi" w:eastAsiaTheme="majorEastAsia" w:hAnsiTheme="majorHAnsi" w:cstheme="majorBidi"/>
      <w:color w:val="076158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95A48"/>
    <w:rPr>
      <w:rFonts w:asciiTheme="majorHAnsi" w:eastAsiaTheme="majorEastAsia" w:hAnsiTheme="majorHAnsi" w:cstheme="majorBidi"/>
      <w:color w:val="076158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5A48"/>
    <w:rPr>
      <w:rFonts w:eastAsiaTheme="majorEastAsia" w:cstheme="majorBidi"/>
      <w:color w:val="076158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5A48"/>
    <w:rPr>
      <w:rFonts w:eastAsiaTheme="majorEastAsia" w:cstheme="majorBidi"/>
      <w:i/>
      <w:iCs/>
      <w:color w:val="076158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5A48"/>
    <w:rPr>
      <w:rFonts w:eastAsiaTheme="majorEastAsia" w:cstheme="majorBidi"/>
      <w:color w:val="07615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5A48"/>
    <w:rPr>
      <w:rFonts w:eastAsiaTheme="majorEastAsia" w:cstheme="majorBidi"/>
      <w:i/>
      <w:iCs/>
      <w:color w:val="6B6B6B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5A48"/>
    <w:rPr>
      <w:rFonts w:eastAsiaTheme="majorEastAsia" w:cstheme="majorBidi"/>
      <w:color w:val="6B6B6B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5A48"/>
    <w:rPr>
      <w:rFonts w:eastAsiaTheme="majorEastAsia" w:cstheme="majorBidi"/>
      <w:i/>
      <w:iCs/>
      <w:color w:val="3F3F3F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5A48"/>
    <w:rPr>
      <w:rFonts w:eastAsiaTheme="majorEastAsia" w:cstheme="majorBidi"/>
      <w:color w:val="3F3F3F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5A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5A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A48"/>
    <w:pPr>
      <w:numPr>
        <w:ilvl w:val="1"/>
      </w:numPr>
    </w:pPr>
    <w:rPr>
      <w:rFonts w:eastAsiaTheme="majorEastAsia" w:cstheme="majorBidi"/>
      <w:color w:val="6B6B6B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5A48"/>
    <w:rPr>
      <w:rFonts w:eastAsiaTheme="majorEastAsia" w:cstheme="majorBidi"/>
      <w:color w:val="6B6B6B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5A48"/>
    <w:pPr>
      <w:spacing w:before="160"/>
      <w:jc w:val="center"/>
    </w:pPr>
    <w:rPr>
      <w:i/>
      <w:iCs/>
      <w:color w:val="555555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5A48"/>
    <w:rPr>
      <w:i/>
      <w:iCs/>
      <w:color w:val="555555" w:themeColor="text1" w:themeTint="BF"/>
    </w:rPr>
  </w:style>
  <w:style w:type="paragraph" w:styleId="ListParagraph">
    <w:name w:val="List Paragraph"/>
    <w:basedOn w:val="Normal"/>
    <w:uiPriority w:val="34"/>
    <w:qFormat/>
    <w:rsid w:val="00C95A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5A48"/>
    <w:rPr>
      <w:i/>
      <w:iCs/>
      <w:color w:val="07615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5A48"/>
    <w:pPr>
      <w:pBdr>
        <w:top w:val="single" w:sz="4" w:space="10" w:color="076158" w:themeColor="accent1" w:themeShade="BF"/>
        <w:bottom w:val="single" w:sz="4" w:space="10" w:color="076158" w:themeColor="accent1" w:themeShade="BF"/>
      </w:pBdr>
      <w:spacing w:before="360" w:after="360"/>
      <w:ind w:left="864" w:right="864"/>
      <w:jc w:val="center"/>
    </w:pPr>
    <w:rPr>
      <w:i/>
      <w:iCs/>
      <w:color w:val="07615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5A48"/>
    <w:rPr>
      <w:i/>
      <w:iCs/>
      <w:color w:val="076158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5A48"/>
    <w:rPr>
      <w:b/>
      <w:bCs/>
      <w:smallCaps/>
      <w:color w:val="076158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Infineon2023">
      <a:dk1>
        <a:srgbClr val="1D1D1D"/>
      </a:dk1>
      <a:lt1>
        <a:srgbClr val="FFFFFF"/>
      </a:lt1>
      <a:dk2>
        <a:srgbClr val="0A8276"/>
      </a:dk2>
      <a:lt2>
        <a:srgbClr val="8D8786"/>
      </a:lt2>
      <a:accent1>
        <a:srgbClr val="0A8276"/>
      </a:accent1>
      <a:accent2>
        <a:srgbClr val="575352"/>
      </a:accent2>
      <a:accent3>
        <a:srgbClr val="F97414"/>
      </a:accent3>
      <a:accent4>
        <a:srgbClr val="9BBA43"/>
      </a:accent4>
      <a:accent5>
        <a:srgbClr val="FCD442"/>
      </a:accent5>
      <a:accent6>
        <a:srgbClr val="9C216E"/>
      </a:accent6>
      <a:hlink>
        <a:srgbClr val="0A8276"/>
      </a:hlink>
      <a:folHlink>
        <a:srgbClr val="0A8276"/>
      </a:folHlink>
    </a:clrScheme>
    <a:fontScheme name="Infineon Fonts">
      <a:majorFont>
        <a:latin typeface="Verdana"/>
        <a:ea typeface=""/>
        <a:cs typeface="Verdana"/>
      </a:majorFont>
      <a:minorFont>
        <a:latin typeface="Verdana"/>
        <a:ea typeface=""/>
        <a:cs typeface="Verdan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 (1).xsl" StyleName="APA" Version="6"/>
</file>

<file path=customXml/itemProps1.xml><?xml version="1.0" encoding="utf-8"?>
<ds:datastoreItem xmlns:ds="http://schemas.openxmlformats.org/officeDocument/2006/customXml" ds:itemID="{1A80EA67-42E0-4C50-9559-F08C3118C72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15a25aa-e944-415d-b7a7-40f6b9180b6b}" enabled="1" method="Standard" siteId="{eeb8d0e8-3544-41d3-aac6-934c309faf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672</Words>
  <Characters>4235</Characters>
  <Application>Microsoft Office Word</Application>
  <DocSecurity>0</DocSecurity>
  <Lines>35</Lines>
  <Paragraphs>9</Paragraphs>
  <ScaleCrop>false</ScaleCrop>
  <Company>Infineon Technologies</Company>
  <LinksUpToDate>false</LinksUpToDate>
  <CharactersWithSpaces>4898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Bonomi Stefano (DES DOS IP AMS CSI DSI)</dc:creator>
  <cp:keywords/>
  <dc:description/>
  <cp:lastModifiedBy>Bonomi Stefano (DES DOS IP AMS CSI DSI)</cp:lastModifiedBy>
  <cp:revision>1</cp:revision>
  <dcterms:created xsi:type="dcterms:W3CDTF">2026-09-16T14:28:00Z</dcterms:created>
  <dcterms:modified xsi:type="dcterms:W3CDTF">2026-09-16T14:28:00Z</dcterms:modified>
</cp:coreProperties>
</file>