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Control Policy</w:t>
      </w:r>
    </w:p>
    <w:p>
      <w:r>
        <w:t>Source: 01_access_policy.md</w:t>
      </w:r>
    </w:p>
    <w:p>
      <w:r>
        <w:t>Tenant users receive least-privilege access through functional and project groups. Restricted records require an explicit owner, group assignment, or direct grant. External collaborators never receive implicit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Policy</dc:title>
  <dc:subject/>
  <dc:creator>SecureGraph MRD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