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Classification Policy</w:t>
      </w:r>
    </w:p>
    <w:p>
      <w:r>
        <w:t>Source: 02_classification_policy.md</w:t>
      </w:r>
    </w:p>
    <w:p>
      <w:r>
        <w:t>Public means authenticated tenant users only. Internal has no implicit grant. Confidential and Restricted require explicit ReBAC relationships. Restricted material includes incidents, credentials, architecture, and sensitive personnel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Classification Policy</dc:title>
  <dc:subject/>
  <dc:creator>SecureGraph MRD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