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Private Architecture</w:t>
      </w:r>
    </w:p>
    <w:p>
      <w:r>
        <w:t>Source: 15_private_architecture.md</w:t>
      </w:r>
    </w:p>
    <w:p>
      <w:r>
        <w:t>Restricted architecture: ingestion originals are encrypted at rest; authorization precedes retrieval; audit chain roots require protected storage. Only Aurora senior technicians may change this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Private Architecture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