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17.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22.odttf" ContentType="application/vnd.openxmlformats-officedocument.obfuscatedFont"/>
  <Override PartName="/word/fonts/font8.odttf" ContentType="application/vnd.openxmlformats-officedocument.obfuscatedFont"/>
  <Override PartName="/word/fonts/font15.odttf" ContentType="application/vnd.openxmlformats-officedocument.obfuscatedFont"/>
  <Override PartName="/word/fonts/font9.odttf" ContentType="application/vnd.openxmlformats-officedocument.obfuscatedFont"/>
  <Override PartName="/word/fonts/font16.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25.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numbering.xml" ContentType="application/vnd.openxmlformats-officedocument.wordprocessingml.numbering+xml"/>
  <Override PartName="/word/theme/theme1.xml" ContentType="application/vnd.openxmlformats-officedocument.theme+xml"/>
  <Override PartName="/word/media/image1.jpeg" ContentType="image/jpeg"/>
  <Override PartName="/word/media/image2.jpeg" ContentType="image/jpeg"/>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24"/>
          <w:szCs w:val="24"/>
        </w:rPr>
      </w:pPr>
      <w:r>
        <w:rPr>
          <w:b/>
          <w:bCs/>
          <w:sz w:val="24"/>
          <w:szCs w:val="24"/>
        </w:rPr>
        <w:t>SUPPORTING INFORMATION FOR</w:t>
      </w:r>
    </w:p>
    <w:p>
      <w:pPr>
        <w:pStyle w:val="Normal1"/>
        <w:jc w:val="center"/>
        <w:rPr>
          <w:b/>
          <w:bCs/>
          <w:sz w:val="24"/>
          <w:szCs w:val="24"/>
        </w:rPr>
      </w:pPr>
      <w:r>
        <w:rPr>
          <w:b/>
          <w:bCs/>
          <w:sz w:val="24"/>
          <w:szCs w:val="24"/>
        </w:rPr>
      </w:r>
    </w:p>
    <w:p>
      <w:pPr>
        <w:pStyle w:val="Normal1"/>
        <w:jc w:val="center"/>
        <w:rPr>
          <w:b/>
          <w:bCs/>
          <w:sz w:val="24"/>
          <w:szCs w:val="24"/>
        </w:rPr>
      </w:pPr>
      <w:r>
        <w:rPr>
          <w:b/>
          <w:bCs/>
          <w:sz w:val="26"/>
          <w:szCs w:val="26"/>
        </w:rPr>
        <w:t>The biodiversity we ignore: a global meta-analysis on taxonomic bias</w:t>
      </w:r>
    </w:p>
    <w:p>
      <w:pPr>
        <w:pStyle w:val="Normal1"/>
        <w:rPr>
          <w:sz w:val="24"/>
          <w:szCs w:val="24"/>
        </w:rPr>
      </w:pPr>
      <w:r>
        <w:rPr>
          <w:sz w:val="24"/>
          <w:szCs w:val="24"/>
        </w:rPr>
      </w:r>
    </w:p>
    <w:p>
      <w:pPr>
        <w:pStyle w:val="Normal1"/>
        <w:jc w:val="center"/>
        <w:rPr>
          <w:i/>
          <w:i/>
          <w:iCs/>
        </w:rPr>
      </w:pPr>
      <w:r>
        <w:rPr/>
        <w:t>Stefano Mammola, Diego Fontaneto, Adrià Bellvert, Matteo Chialva, Martino Adamo</w:t>
      </w:r>
    </w:p>
    <w:p>
      <w:pPr>
        <w:pStyle w:val="Normal1"/>
        <w:ind w:left="0" w:hanging="0"/>
        <w:jc w:val="both"/>
        <w:rPr>
          <w:b/>
          <w:bCs/>
        </w:rPr>
      </w:pPr>
      <w:r>
        <w:rPr>
          <w:b/>
          <w:bCs/>
        </w:rPr>
      </w:r>
    </w:p>
    <w:p>
      <w:pPr>
        <w:pStyle w:val="Normal1"/>
        <w:ind w:left="0" w:hanging="0"/>
        <w:jc w:val="both"/>
        <w:rPr>
          <w:b/>
          <w:bCs/>
        </w:rPr>
      </w:pPr>
      <w:r>
        <w:rPr>
          <w:b/>
          <w:bCs/>
        </w:rPr>
      </w:r>
    </w:p>
    <w:p>
      <w:pPr>
        <w:pStyle w:val="Normal1"/>
        <w:ind w:left="0" w:hanging="0"/>
        <w:jc w:val="both"/>
        <w:rPr>
          <w:b/>
          <w:bCs/>
        </w:rPr>
      </w:pPr>
      <w:r>
        <w:rPr>
          <w:b/>
          <w:bCs/>
        </w:rPr>
      </w:r>
    </w:p>
    <w:p>
      <w:pPr>
        <w:pStyle w:val="Normal1"/>
        <w:ind w:left="0" w:hanging="0"/>
        <w:jc w:val="both"/>
        <w:rPr>
          <w:b/>
          <w:bCs/>
        </w:rPr>
      </w:pPr>
      <w:r>
        <w:rPr>
          <w:b/>
          <w:bCs/>
        </w:rPr>
        <w:t>Table of Contents</w:t>
      </w:r>
    </w:p>
    <w:p>
      <w:pPr>
        <w:pStyle w:val="Normal1"/>
        <w:ind w:left="0" w:hanging="0"/>
        <w:jc w:val="both"/>
        <w:rPr/>
      </w:pPr>
      <w:r>
        <w:rPr/>
      </w:r>
    </w:p>
    <w:p>
      <w:pPr>
        <w:pStyle w:val="Normal1"/>
        <w:numPr>
          <w:ilvl w:val="0"/>
          <w:numId w:val="3"/>
        </w:numPr>
        <w:ind w:left="720" w:hanging="360"/>
        <w:jc w:val="both"/>
        <w:rPr>
          <w:u w:val="none"/>
        </w:rPr>
      </w:pPr>
      <w:r>
        <w:rPr/>
        <w:t>Figure S1. PRISMA diagram of the systematic literature review</w:t>
      </w:r>
    </w:p>
    <w:p>
      <w:pPr>
        <w:pStyle w:val="Normal1"/>
        <w:ind w:left="0" w:hanging="0"/>
        <w:jc w:val="both"/>
        <w:rPr/>
      </w:pPr>
      <w:r>
        <w:rPr/>
      </w:r>
    </w:p>
    <w:p>
      <w:pPr>
        <w:pStyle w:val="Normal1"/>
        <w:numPr>
          <w:ilvl w:val="0"/>
          <w:numId w:val="2"/>
        </w:numPr>
        <w:ind w:left="720" w:hanging="360"/>
        <w:jc w:val="both"/>
        <w:rPr>
          <w:u w:val="none"/>
        </w:rPr>
      </w:pPr>
      <w:r>
        <w:rPr/>
        <w:t>Figure S2. Funnel plot of study-level aggregated effect sizes</w:t>
      </w:r>
    </w:p>
    <w:p>
      <w:pPr>
        <w:pStyle w:val="Normal1"/>
        <w:ind w:left="0" w:hanging="0"/>
        <w:jc w:val="both"/>
        <w:rPr/>
      </w:pPr>
      <w:r>
        <w:rPr/>
      </w:r>
    </w:p>
    <w:p>
      <w:pPr>
        <w:pStyle w:val="Normal1"/>
        <w:numPr>
          <w:ilvl w:val="0"/>
          <w:numId w:val="1"/>
        </w:numPr>
        <w:ind w:left="720" w:hanging="360"/>
        <w:jc w:val="both"/>
        <w:rPr>
          <w:u w:val="none"/>
        </w:rPr>
      </w:pPr>
      <w:r>
        <w:rPr/>
        <w:t>Supporting Literature</w:t>
      </w:r>
      <w:r>
        <w:br w:type="page"/>
      </w:r>
    </w:p>
    <w:p>
      <w:pPr>
        <w:pStyle w:val="Normal1"/>
        <w:ind w:left="0" w:hanging="0"/>
        <w:jc w:val="both"/>
        <w:rPr>
          <w:i/>
          <w:i/>
          <w:iCs/>
        </w:rPr>
      </w:pPr>
      <w:r>
        <w:rPr>
          <w:i/>
          <w:iCs/>
        </w:rPr>
      </w:r>
    </w:p>
    <w:p>
      <w:pPr>
        <w:pStyle w:val="Normal1"/>
        <w:rPr>
          <w:b/>
          <w:bCs/>
        </w:rPr>
      </w:pPr>
      <w:r>
        <w:rPr/>
        <w:drawing>
          <wp:inline distT="0" distB="0" distL="0" distR="0">
            <wp:extent cx="5731510" cy="2527300"/>
            <wp:effectExtent l="0" t="0" r="0" b="0"/>
            <wp:docPr id="1"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
                    <pic:cNvPicPr>
                      <a:picLocks noChangeAspect="1" noChangeArrowheads="1"/>
                    </pic:cNvPicPr>
                  </pic:nvPicPr>
                  <pic:blipFill>
                    <a:blip r:embed="rId2"/>
                    <a:stretch>
                      <a:fillRect/>
                    </a:stretch>
                  </pic:blipFill>
                  <pic:spPr bwMode="auto">
                    <a:xfrm>
                      <a:off x="0" y="0"/>
                      <a:ext cx="5731510" cy="2527300"/>
                    </a:xfrm>
                    <a:prstGeom prst="rect">
                      <a:avLst/>
                    </a:prstGeom>
                  </pic:spPr>
                </pic:pic>
              </a:graphicData>
            </a:graphic>
          </wp:inline>
        </w:drawing>
      </w:r>
    </w:p>
    <w:p>
      <w:pPr>
        <w:pStyle w:val="Normal1"/>
        <w:jc w:val="both"/>
        <w:rPr>
          <w:b/>
          <w:bCs/>
        </w:rPr>
      </w:pPr>
      <w:r>
        <w:rPr>
          <w:b/>
          <w:bCs/>
        </w:rPr>
      </w:r>
    </w:p>
    <w:p>
      <w:pPr>
        <w:pStyle w:val="Normal1"/>
        <w:keepNext w:val="false"/>
        <w:keepLines w:val="false"/>
        <w:pageBreakBefore w:val="false"/>
        <w:widowControl/>
        <w:pBdr/>
        <w:shd w:val="clear" w:fill="auto"/>
        <w:spacing w:lineRule="auto" w:line="276" w:before="0" w:after="0"/>
        <w:ind w:left="0" w:right="0" w:hanging="0"/>
        <w:jc w:val="both"/>
        <w:rPr/>
      </w:pPr>
      <w:r>
        <w:rPr>
          <w:b/>
          <w:bCs/>
        </w:rPr>
        <w:t>Figure S1.</w:t>
      </w:r>
      <w:r>
        <w:rPr/>
        <w:t xml:space="preserve"> Preferred Reporting Items for Systematic Reviews and Meta-Analyses (PRISMA) diagram depicting the flow of information through the different phases of the systematic literature review. The diagram was created with the online resource PRISMA Flow Diagram (Haddaway et al., 2022). </w:t>
      </w:r>
      <w:r>
        <w:br w:type="page"/>
      </w:r>
    </w:p>
    <w:p>
      <w:pPr>
        <w:pStyle w:val="Normal1"/>
        <w:ind w:left="0" w:hanging="0"/>
        <w:jc w:val="both"/>
        <w:rPr>
          <w:i/>
          <w:i/>
          <w:iCs/>
        </w:rPr>
      </w:pPr>
      <w:r>
        <w:rPr>
          <w:i/>
          <w:iCs/>
        </w:rPr>
      </w:r>
    </w:p>
    <w:p>
      <w:pPr>
        <w:pStyle w:val="Normal1"/>
        <w:ind w:left="0" w:hanging="0"/>
        <w:jc w:val="both"/>
        <w:rPr>
          <w:i/>
          <w:i/>
          <w:iCs/>
        </w:rPr>
      </w:pPr>
      <w:r>
        <w:rPr/>
        <w:drawing>
          <wp:inline distT="0" distB="0" distL="0" distR="0">
            <wp:extent cx="5734050" cy="45783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3"/>
                    <a:stretch>
                      <a:fillRect/>
                    </a:stretch>
                  </pic:blipFill>
                  <pic:spPr bwMode="auto">
                    <a:xfrm>
                      <a:off x="0" y="0"/>
                      <a:ext cx="5734050" cy="4578350"/>
                    </a:xfrm>
                    <a:prstGeom prst="rect">
                      <a:avLst/>
                    </a:prstGeom>
                  </pic:spPr>
                </pic:pic>
              </a:graphicData>
            </a:graphic>
          </wp:inline>
        </w:drawing>
      </w:r>
    </w:p>
    <w:p>
      <w:pPr>
        <w:pStyle w:val="Normal1"/>
        <w:ind w:left="0" w:hanging="0"/>
        <w:jc w:val="both"/>
        <w:rPr/>
      </w:pPr>
      <w:r>
        <w:rPr>
          <w:b/>
          <w:bCs/>
        </w:rPr>
        <w:t>Figure S2.</w:t>
      </w:r>
      <w:r>
        <w:rPr/>
        <w:t xml:space="preserve"> Funnel plot of study-level aggregated effect sizes (one estimate per study) showing effect size as a function of standard error. Larger, more precise studies cluster around moderate effect sizes, whereas smaller studies show greater variability and more extreme positive estimates, consistent with small-study effects.</w:t>
      </w:r>
      <w:r>
        <w:br w:type="page"/>
      </w:r>
    </w:p>
    <w:p>
      <w:pPr>
        <w:pStyle w:val="Normal1"/>
        <w:ind w:left="0" w:hanging="0"/>
        <w:jc w:val="both"/>
        <w:rPr>
          <w:b/>
          <w:bCs/>
        </w:rPr>
      </w:pPr>
      <w:r>
        <w:rPr>
          <w:b/>
          <w:bCs/>
        </w:rPr>
        <w:t>Supporting literature</w:t>
      </w:r>
    </w:p>
    <w:p>
      <w:pPr>
        <w:pStyle w:val="Normal1"/>
        <w:ind w:left="0" w:hanging="0"/>
        <w:jc w:val="both"/>
        <w:rPr/>
      </w:pPr>
      <w:r>
        <w:rPr/>
      </w:r>
    </w:p>
    <w:p>
      <w:pPr>
        <w:pStyle w:val="Normal1"/>
        <w:ind w:left="0" w:hanging="0"/>
        <w:jc w:val="both"/>
        <w:rPr/>
      </w:pPr>
      <w:r>
        <w:rPr/>
        <w:t>Haddaway, N. R., Page, M. J., Pritchard, C. C., &amp; McGuinness, L. A. (2022). PRISMA2020: An R package and Shiny app for producing PRISMA 2020-compliant flow diagrams, with interactivity for optimised digital transparency and Open Synthesis Campbell Systematic Reviews, 18, e1230</w:t>
      </w:r>
      <w:r>
        <w:rPr>
          <w:rFonts w:eastAsia="Roboto" w:cs="Roboto" w:ascii="Roboto" w:hAnsi="Roboto"/>
          <w:color w:val="444746"/>
          <w:sz w:val="21"/>
          <w:szCs w:val="21"/>
          <w:highlight w:val="white"/>
        </w:rPr>
        <w:t>.</w:t>
      </w:r>
    </w:p>
    <w:sectPr>
      <w:type w:val="nextPage"/>
      <w:pgSz w:w="11906" w:h="16838"/>
      <w:pgMar w:left="1440" w:right="1440" w:gutter="0" w:header="0" w:top="1440" w:footer="0" w:bottom="1440"/>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Roboto">
    <w:charset w:val="01"/>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OpenSymbol">
    <w:altName w:val="Arial Unicode MS"/>
    <w:charset w:val="01"/>
    <w:family w:val="auto"/>
    <w:pitch w:val="default"/>
    <w:embedRegular r:id="rId26" w:fontKey="{1A014A78-CABC-4EF0-12AC-5CD89AEFDE1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LibreOffice/7.5.3.2$MacOSX_X86_64 LibreOffice_project/9f56dff12ba03b9acd7730a5a481eea045e468f3</Application>
  <AppVersion>15.0000</AppVersion>
  <Pages>4</Pages>
  <Words>179</Words>
  <Characters>1087</Characters>
  <CharactersWithSpaces>1253</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2026-02-19T10:17:21Z</dcterms:modified>
  <cp:revision>2</cp:revision>
  <dc:subject/>
  <dc:title/>
</cp:coreProperties>
</file>