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nts/font1.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color w:val="000000"/>
        </w:rPr>
      </w:pPr>
      <w:r>
        <w:rPr>
          <w:b/>
          <w:bCs/>
          <w:color w:val="000000"/>
          <w:sz w:val="24"/>
          <w:szCs w:val="24"/>
        </w:rPr>
        <w:t>The biodiversity we ignore: a global meta-analysis on taxonomic bias</w:t>
      </w:r>
    </w:p>
    <w:p>
      <w:pPr>
        <w:pStyle w:val="LO-normal"/>
        <w:spacing w:lineRule="auto" w:line="480"/>
        <w:ind w:hanging="0" w:left="0"/>
        <w:rPr>
          <w:color w:val="000000"/>
        </w:rPr>
      </w:pPr>
      <w:r>
        <w:rPr>
          <w:color w:val="000000"/>
        </w:rPr>
      </w:r>
    </w:p>
    <w:p>
      <w:pPr>
        <w:pStyle w:val="LO-normal"/>
        <w:spacing w:lineRule="auto" w:line="480"/>
        <w:ind w:hanging="0" w:left="0"/>
        <w:rPr>
          <w:color w:val="000000"/>
        </w:rPr>
      </w:pPr>
      <w:r>
        <w:rPr>
          <w:color w:val="000000"/>
        </w:rPr>
        <w:t>Running title:</w:t>
      </w:r>
      <w:r>
        <w:rPr>
          <w:color w:val="000000"/>
          <w:sz w:val="21"/>
          <w:szCs w:val="21"/>
        </w:rPr>
        <w:t xml:space="preserve"> </w:t>
      </w:r>
      <w:r>
        <w:rPr>
          <w:color w:val="000000"/>
        </w:rPr>
        <w:t>A global meta-analysis on taxonomic bias</w:t>
      </w:r>
    </w:p>
    <w:p>
      <w:pPr>
        <w:pStyle w:val="LO-normal"/>
        <w:spacing w:lineRule="auto" w:line="480"/>
        <w:ind w:hanging="0" w:left="0"/>
        <w:rPr>
          <w:color w:val="000000"/>
        </w:rPr>
      </w:pPr>
      <w:r>
        <w:rPr>
          <w:color w:val="000000"/>
        </w:rPr>
      </w:r>
    </w:p>
    <w:p>
      <w:pPr>
        <w:pStyle w:val="LO-normal"/>
        <w:keepNext w:val="false"/>
        <w:keepLines w:val="false"/>
        <w:pageBreakBefore w:val="false"/>
        <w:widowControl/>
        <w:spacing w:lineRule="auto" w:line="480" w:before="0" w:after="0"/>
        <w:ind w:hanging="0" w:left="0" w:right="0"/>
        <w:jc w:val="left"/>
        <w:rPr>
          <w:color w:val="000000"/>
        </w:rPr>
      </w:pPr>
      <w:r>
        <w:rPr>
          <w:color w:val="000000"/>
        </w:rPr>
        <w:t xml:space="preserve">Keywords: Awareness disparity; Charismatic species; Cognitive bias; Institutional vertebratism; Plant blindness; Research bias; Societal attention; </w:t>
      </w:r>
      <w:r>
        <w:rPr>
          <w:color w:val="000000"/>
        </w:rPr>
        <w:t>Speciesism;  Taxonomic bias</w:t>
      </w:r>
    </w:p>
    <w:p>
      <w:pPr>
        <w:pStyle w:val="LO-normal"/>
        <w:keepNext w:val="false"/>
        <w:keepLines w:val="false"/>
        <w:pageBreakBefore w:val="false"/>
        <w:widowControl/>
        <w:spacing w:lineRule="auto" w:line="480" w:before="0" w:after="0"/>
        <w:ind w:hanging="0" w:left="0" w:right="0"/>
        <w:jc w:val="left"/>
        <w:rPr>
          <w:color w:val="000000"/>
        </w:rPr>
      </w:pPr>
      <w:r>
        <w:rPr>
          <w:color w:val="000000"/>
        </w:rPr>
      </w:r>
    </w:p>
    <w:p>
      <w:pPr>
        <w:pStyle w:val="LO-normal"/>
        <w:spacing w:lineRule="auto" w:line="480"/>
        <w:rPr>
          <w:color w:val="000000"/>
        </w:rPr>
      </w:pPr>
      <w:r>
        <w:rPr>
          <w:color w:val="000000"/>
        </w:rPr>
        <w:t>Number of figures: 4</w:t>
      </w:r>
    </w:p>
    <w:p>
      <w:pPr>
        <w:pStyle w:val="LO-normal"/>
        <w:spacing w:lineRule="auto" w:line="480"/>
        <w:rPr>
          <w:color w:val="000000"/>
        </w:rPr>
      </w:pPr>
      <w:r>
        <w:rPr>
          <w:color w:val="000000"/>
        </w:rPr>
        <w:t>Number of tables: 1</w:t>
      </w:r>
    </w:p>
    <w:p>
      <w:pPr>
        <w:pStyle w:val="LO-normal"/>
        <w:spacing w:lineRule="auto" w:line="480"/>
        <w:rPr>
          <w:color w:val="000000"/>
        </w:rPr>
      </w:pPr>
      <w:r>
        <w:rPr>
          <w:color w:val="000000"/>
        </w:rPr>
        <w:t>Number of words – abstract: 150</w:t>
      </w:r>
    </w:p>
    <w:p>
      <w:pPr>
        <w:pStyle w:val="LO-normal"/>
        <w:spacing w:lineRule="auto" w:line="480"/>
        <w:rPr>
          <w:color w:val="000000"/>
        </w:rPr>
      </w:pPr>
      <w:r>
        <w:rPr>
          <w:color w:val="000000"/>
        </w:rPr>
        <w:t>Number of words – main: 4000</w:t>
      </w:r>
    </w:p>
    <w:p>
      <w:pPr>
        <w:pStyle w:val="LO-normal"/>
        <w:spacing w:lineRule="auto" w:line="480"/>
        <w:rPr>
          <w:color w:val="000000"/>
        </w:rPr>
      </w:pPr>
      <w:r>
        <w:rPr>
          <w:color w:val="000000"/>
        </w:rPr>
        <w:t>Number of references: 41</w:t>
      </w:r>
      <w:r>
        <w:br w:type="page"/>
      </w:r>
    </w:p>
    <w:p>
      <w:pPr>
        <w:pStyle w:val="LO-normal"/>
        <w:spacing w:lineRule="auto" w:line="480" w:before="0" w:after="0"/>
        <w:rPr>
          <w:color w:val="000000"/>
        </w:rPr>
      </w:pPr>
      <w:r>
        <w:rPr>
          <w:b/>
          <w:bCs/>
          <w:color w:val="000000"/>
        </w:rPr>
        <w:t>ABSTRACT</w:t>
      </w:r>
    </w:p>
    <w:p>
      <w:pPr>
        <w:pStyle w:val="LO-normal"/>
        <w:spacing w:lineRule="auto" w:line="480"/>
        <w:jc w:val="both"/>
        <w:rPr>
          <w:color w:val="000000"/>
        </w:rPr>
      </w:pPr>
      <w:r>
        <w:rPr>
          <w:color w:val="000000"/>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color w:val="000000"/>
        </w:rPr>
        <w:t>r</w:t>
      </w:r>
      <w:r>
        <w:rPr>
          <w:color w:val="000000"/>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color w:val="000000"/>
        </w:rPr>
      </w:pPr>
      <w:r>
        <w:rPr>
          <w:b/>
          <w:bCs/>
          <w:color w:val="000000"/>
        </w:rPr>
        <w:t>INTRODUCTION</w:t>
      </w:r>
    </w:p>
    <w:p>
      <w:pPr>
        <w:pStyle w:val="LO-normal"/>
        <w:spacing w:lineRule="auto" w:line="480" w:before="240" w:after="240"/>
        <w:ind w:hanging="0" w:left="0"/>
        <w:jc w:val="both"/>
        <w:rPr/>
      </w:pPr>
      <w:r>
        <w:rPr>
          <w:color w:val="000000"/>
        </w:rPr>
        <w:t xml:space="preserve">Recent decades have seen accelerating human transformation of the biosphere </w:t>
      </w:r>
      <w:hyperlink r:id="rId2">
        <w:r>
          <w:rPr>
            <w:rStyle w:val="Style3"/>
            <w:color w:val="000000"/>
          </w:rPr>
          <w:t>(Barnosky &amp; Hadly 2026)</w:t>
        </w:r>
      </w:hyperlink>
      <w:r>
        <w:rPr>
          <w:color w:val="000000"/>
        </w:rPr>
        <w:t xml:space="preserve">. As the natural world erodes, we are not only losing biodiversity </w:t>
      </w:r>
      <w:hyperlink r:id="rId3">
        <w:r>
          <w:rPr>
            <w:rStyle w:val="Style3"/>
            <w:color w:val="000000"/>
          </w:rPr>
          <w:t xml:space="preserve">(Keck </w:t>
        </w:r>
      </w:hyperlink>
      <w:hyperlink r:id="rId4">
        <w:r>
          <w:rPr>
            <w:rStyle w:val="Style3"/>
            <w:i/>
            <w:iCs/>
            <w:color w:val="000000"/>
          </w:rPr>
          <w:t>et al.</w:t>
        </w:r>
      </w:hyperlink>
      <w:hyperlink r:id="rId5">
        <w:r>
          <w:rPr>
            <w:rStyle w:val="Style3"/>
            <w:color w:val="000000"/>
          </w:rPr>
          <w:t xml:space="preserve"> 2025; Shaw </w:t>
        </w:r>
      </w:hyperlink>
      <w:hyperlink r:id="rId6">
        <w:r>
          <w:rPr>
            <w:rStyle w:val="Style3"/>
            <w:i/>
            <w:iCs/>
            <w:color w:val="000000"/>
          </w:rPr>
          <w:t>et al.</w:t>
        </w:r>
      </w:hyperlink>
      <w:hyperlink r:id="rId7">
        <w:r>
          <w:rPr>
            <w:rStyle w:val="Style3"/>
            <w:color w:val="000000"/>
          </w:rPr>
          <w:t xml:space="preserve"> 2025)</w:t>
        </w:r>
      </w:hyperlink>
      <w:r>
        <w:rPr>
          <w:color w:val="000000"/>
        </w:rPr>
        <w:t xml:space="preserve">, but also the collective knowledge of nature </w:t>
      </w:r>
      <w:hyperlink r:id="rId8">
        <w:r>
          <w:rPr>
            <w:rStyle w:val="Style3"/>
            <w:color w:val="000000"/>
          </w:rPr>
          <w:t xml:space="preserve">(Jarić </w:t>
        </w:r>
      </w:hyperlink>
      <w:hyperlink r:id="rId9">
        <w:r>
          <w:rPr>
            <w:rStyle w:val="Style3"/>
            <w:i/>
            <w:iCs/>
            <w:color w:val="000000"/>
          </w:rPr>
          <w:t>et al.</w:t>
        </w:r>
      </w:hyperlink>
      <w:hyperlink r:id="rId10">
        <w:r>
          <w:rPr>
            <w:rStyle w:val="Style3"/>
            <w:color w:val="000000"/>
          </w:rPr>
          <w:t xml:space="preserve"> 2022; Soga &amp; Gaston 2016)</w:t>
        </w:r>
      </w:hyperlink>
      <w:r>
        <w:rPr>
          <w:color w:val="000000"/>
        </w:rPr>
        <w:t xml:space="preserve"> and even shared baselines of what healthy ecosystems look like </w:t>
      </w:r>
      <w:hyperlink r:id="rId11">
        <w:r>
          <w:rPr>
            <w:rStyle w:val="Style3"/>
            <w:color w:val="000000"/>
          </w:rPr>
          <w:t>(Soga &amp; Gaston 2018)</w:t>
        </w:r>
      </w:hyperlink>
      <w:r>
        <w:rPr>
          <w:color w:val="000000"/>
        </w:rPr>
        <w:t>. Yet the precise contours of this crisis remain contested,</w:t>
      </w:r>
      <w:r>
        <w:rPr>
          <w:color w:val="000000"/>
        </w:rPr>
        <w:t xml:space="preserve"> leaving ample room for debate on whether the ongoing biodiversity decline can be described as a “sixth mass extinction” </w:t>
      </w:r>
      <w:hyperlink r:id="rId12">
        <w:r>
          <w:rPr>
            <w:rStyle w:val="Style3"/>
            <w:color w:val="000000"/>
          </w:rPr>
          <w:t>(Wiens &amp; Saban 2025a, b; Cowie et al. 2025)</w:t>
        </w:r>
      </w:hyperlink>
      <w:r>
        <w:rPr>
          <w:color w:val="000000"/>
        </w:rPr>
        <w:t xml:space="preserve"> or which branches of the tree of life are most affected by extinctions </w:t>
      </w:r>
      <w:hyperlink r:id="rId13">
        <w:r>
          <w:rPr>
            <w:rStyle w:val="Style3"/>
            <w:color w:val="000000"/>
          </w:rPr>
          <w:t xml:space="preserve">(Cowie </w:t>
        </w:r>
      </w:hyperlink>
      <w:hyperlink r:id="rId14">
        <w:r>
          <w:rPr>
            <w:rStyle w:val="Style3"/>
            <w:i/>
            <w:iCs/>
            <w:color w:val="000000"/>
          </w:rPr>
          <w:t>et al.</w:t>
        </w:r>
      </w:hyperlink>
      <w:hyperlink r:id="rId15">
        <w:r>
          <w:rPr>
            <w:rStyle w:val="Style3"/>
            <w:color w:val="000000"/>
          </w:rPr>
          <w:t xml:space="preserve"> 2022; Régnier </w:t>
        </w:r>
      </w:hyperlink>
      <w:hyperlink r:id="rId16">
        <w:r>
          <w:rPr>
            <w:rStyle w:val="Style3"/>
            <w:i/>
            <w:iCs/>
            <w:color w:val="000000"/>
          </w:rPr>
          <w:t>et al.</w:t>
        </w:r>
      </w:hyperlink>
      <w:hyperlink r:id="rId17">
        <w:r>
          <w:rPr>
            <w:rStyle w:val="Style3"/>
            <w:color w:val="000000"/>
          </w:rPr>
          <w:t xml:space="preserve"> 2015)</w:t>
        </w:r>
      </w:hyperlink>
      <w:r>
        <w:rPr>
          <w:color w:val="000000"/>
        </w:rPr>
        <w:t xml:space="preserve"> – assuming we even possess the evidence base to answer such questions with confidence. </w:t>
      </w:r>
    </w:p>
    <w:p>
      <w:pPr>
        <w:pStyle w:val="LO-normal"/>
        <w:spacing w:lineRule="auto" w:line="480" w:before="240" w:after="240"/>
        <w:ind w:firstLine="720"/>
        <w:jc w:val="both"/>
        <w:rPr/>
      </w:pPr>
      <w:r>
        <w:rPr>
          <w:color w:val="000000"/>
        </w:rPr>
        <w:t>Underpinning these uncertainties is a profound fragmentation of scientific and societal knowledge of biodiversity</w:t>
      </w:r>
      <w:r>
        <w:rPr>
          <w:color w:val="000000"/>
        </w:rPr>
        <w:t xml:space="preserve"> </w:t>
      </w:r>
      <w:hyperlink r:id="rId18">
        <w:r>
          <w:rPr>
            <w:rStyle w:val="Style3"/>
            <w:color w:val="000000"/>
          </w:rPr>
          <w:t xml:space="preserve">(Mammola </w:t>
        </w:r>
      </w:hyperlink>
      <w:hyperlink r:id="rId19">
        <w:r>
          <w:rPr>
            <w:rStyle w:val="Style3"/>
            <w:i/>
            <w:iCs/>
            <w:color w:val="000000"/>
          </w:rPr>
          <w:t>et al.</w:t>
        </w:r>
      </w:hyperlink>
      <w:hyperlink r:id="rId20">
        <w:r>
          <w:rPr>
            <w:rStyle w:val="Style3"/>
            <w:color w:val="000000"/>
          </w:rPr>
          <w:t xml:space="preserve"> 2023</w:t>
        </w:r>
      </w:hyperlink>
      <w:r>
        <w:rPr>
          <w:color w:val="000000"/>
        </w:rPr>
        <w:t xml:space="preserve">a, b; Troudet </w:t>
      </w:r>
      <w:hyperlink r:id="rId21">
        <w:r>
          <w:rPr>
            <w:rStyle w:val="Style3"/>
            <w:i/>
            <w:iCs/>
            <w:color w:val="000000"/>
          </w:rPr>
          <w:t>et al.</w:t>
        </w:r>
      </w:hyperlink>
      <w:hyperlink r:id="rId22">
        <w:r>
          <w:rPr>
            <w:rStyle w:val="Style3"/>
            <w:color w:val="000000"/>
          </w:rPr>
          <w:t xml:space="preserve"> 2017; </w:t>
        </w:r>
      </w:hyperlink>
      <w:r>
        <w:rPr>
          <w:color w:val="000000"/>
        </w:rPr>
        <w:t>Pollo &amp; Kasumovic 2026</w:t>
      </w:r>
      <w:r>
        <w:rPr>
          <w:color w:val="000000"/>
        </w:rPr>
        <w:t xml:space="preserve">). </w:t>
      </w:r>
      <w:r>
        <w:rPr>
          <w:color w:val="000000"/>
        </w:rPr>
        <w:t>In early contributions,</w:t>
      </w:r>
      <w:r>
        <w:rPr>
          <w:color w:val="000000"/>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color w:val="000000"/>
          </w:rPr>
          <w:t xml:space="preserve">(Bonnet </w:t>
        </w:r>
      </w:hyperlink>
      <w:hyperlink r:id="rId24">
        <w:r>
          <w:rPr>
            <w:rStyle w:val="Style3"/>
            <w:i/>
            <w:iCs/>
            <w:color w:val="000000"/>
          </w:rPr>
          <w:t>et al.</w:t>
        </w:r>
      </w:hyperlink>
      <w:hyperlink r:id="rId25">
        <w:r>
          <w:rPr>
            <w:rStyle w:val="Style3"/>
            <w:color w:val="000000"/>
          </w:rPr>
          <w:t xml:space="preserve"> 2002)</w:t>
        </w:r>
      </w:hyperlink>
      <w:r>
        <w:rPr>
          <w:color w:val="000000"/>
        </w:rPr>
        <w:t xml:space="preserve"> or "taxonomic bias" </w:t>
      </w:r>
      <w:hyperlink r:id="rId26">
        <w:r>
          <w:rPr>
            <w:rStyle w:val="Style3"/>
            <w:color w:val="000000"/>
          </w:rPr>
          <w:t>(Clark &amp; May 2002)</w:t>
        </w:r>
      </w:hyperlink>
      <w:r>
        <w:rPr>
          <w:color w:val="000000"/>
        </w:rPr>
        <w:t xml:space="preserve">. </w:t>
      </w:r>
      <w:r>
        <w:rPr>
          <w:color w:val="000000"/>
        </w:rPr>
        <w:t>These early insights and others (e.g.,</w:t>
      </w:r>
      <w:r>
        <w:rPr>
          <w:rFonts w:eastAsia="Arial" w:cs="Arial"/>
          <w:color w:val="000000"/>
          <w:kern w:val="0"/>
          <w:sz w:val="22"/>
          <w:szCs w:val="22"/>
          <w:lang w:val="en-US" w:eastAsia="zh-CN" w:bidi="hi-IN"/>
        </w:rPr>
        <w:t xml:space="preserve"> Metrick &amp; Weitzman 1996; Moyle 1998</w:t>
      </w:r>
      <w:r>
        <w:rPr>
          <w:color w:val="000000"/>
        </w:rPr>
        <w:t>) catalyzed</w:t>
      </w:r>
      <w:r>
        <w:rPr>
          <w:color w:val="000000"/>
        </w:rPr>
        <w:t xml:space="preserve">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color w:val="000000"/>
          </w:rPr>
          <w:t>(Leather 2013)</w:t>
        </w:r>
      </w:hyperlink>
      <w:r>
        <w:rPr>
          <w:color w:val="000000"/>
        </w:rPr>
        <w:t xml:space="preserve">. In parallel, plant scientists introduced the concept of "plant blindness" </w:t>
      </w:r>
      <w:hyperlink r:id="rId28">
        <w:r>
          <w:rPr>
            <w:rStyle w:val="Style3"/>
            <w:color w:val="000000"/>
          </w:rPr>
          <w:t>(Balding &amp; Williams 2016; Wandersee &amp; Schussler 1999)</w:t>
        </w:r>
      </w:hyperlink>
      <w:r>
        <w:rPr>
          <w:color w:val="000000"/>
        </w:rPr>
        <w:t xml:space="preserve"> to capture the systematic neglect of plants relative to animals – a similar bias may be even stronger for fungi </w:t>
      </w:r>
      <w:hyperlink r:id="rId29">
        <w:r>
          <w:rPr>
            <w:rStyle w:val="Style3"/>
            <w:color w:val="000000"/>
          </w:rPr>
          <w:t xml:space="preserve">(Goncalves </w:t>
        </w:r>
      </w:hyperlink>
      <w:hyperlink r:id="rId30">
        <w:r>
          <w:rPr>
            <w:rStyle w:val="Style3"/>
            <w:i/>
            <w:iCs/>
            <w:color w:val="000000"/>
          </w:rPr>
          <w:t>et al.</w:t>
        </w:r>
      </w:hyperlink>
      <w:hyperlink r:id="rId31">
        <w:r>
          <w:rPr>
            <w:rStyle w:val="Style3"/>
            <w:color w:val="000000"/>
          </w:rPr>
          <w:t xml:space="preserve"> 2021)</w:t>
        </w:r>
      </w:hyperlink>
      <w:r>
        <w:rPr>
          <w:color w:val="000000"/>
        </w:rPr>
        <w:t xml:space="preserve">. At the microbial scale, knowledge fragmentation is most extreme, with half of all bacteriological papers focusing on just ten species </w:t>
      </w:r>
      <w:hyperlink r:id="rId32">
        <w:r>
          <w:rPr>
            <w:rStyle w:val="Style3"/>
            <w:color w:val="000000"/>
          </w:rPr>
          <w:t>(Jensen 2025)</w:t>
        </w:r>
      </w:hyperlink>
      <w:r>
        <w:rPr>
          <w:color w:val="000000"/>
        </w:rPr>
        <w:t>.</w:t>
      </w:r>
    </w:p>
    <w:p>
      <w:pPr>
        <w:pStyle w:val="LO-normal"/>
        <w:spacing w:lineRule="auto" w:line="480" w:before="240" w:after="240"/>
        <w:ind w:firstLine="720"/>
        <w:jc w:val="both"/>
        <w:rPr>
          <w:color w:val="000000"/>
        </w:rPr>
      </w:pPr>
      <w:r>
        <w:rPr>
          <w:b w:val="false"/>
          <w:bCs w:val="false"/>
          <w:color w:val="000000"/>
        </w:rPr>
        <w:t xml:space="preserve">As this literature accumulates, the impression is that nearly every field can document biases affecting its own focal taxa. But is this feeling justified? How can we best navigate this growing body of evidence and take action to level the playing field? While individual studies have documented taxonomic bias in several specific contexts, no prior work has systematically quantified its magnitude, assessed its consistency across taxa and regions, or identified its drivers at a global scale using standardized effect sizes. Crucially, while awareness of taxonomic bias is growing among professionals, intuition does not equate to rigorous quantification, broad recognition across disciplines, or an evidence base sufficient to guide interventions. </w:t>
        <w:tab/>
      </w:r>
    </w:p>
    <w:p>
      <w:pPr>
        <w:pStyle w:val="LO-normal"/>
        <w:spacing w:lineRule="auto" w:line="480" w:before="240" w:after="240"/>
        <w:ind w:firstLine="720"/>
        <w:jc w:val="both"/>
        <w:rPr>
          <w:color w:val="000000"/>
        </w:rPr>
      </w:pPr>
      <w:r>
        <w:rPr>
          <w:b w:val="false"/>
          <w:bCs w:val="false"/>
          <w:color w:val="000000"/>
        </w:rPr>
        <w:t xml:space="preserve">To address these gaps, </w:t>
      </w:r>
      <w:r>
        <w:rPr>
          <w:color w:val="000000"/>
        </w:rPr>
        <w:t xml:space="preserve"> we present a global meta-analysis of 78 studies  (</w:t>
      </w:r>
      <w:r>
        <w:rPr>
          <w:color w:val="000000"/>
        </w:rPr>
        <w:t xml:space="preserve">encompassing </w:t>
      </w:r>
      <w:r>
        <w:rPr>
          <w:color w:val="000000"/>
        </w:rPr>
        <w:t xml:space="preserve">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color w:val="000000"/>
        </w:rPr>
        <w:t>r</w:t>
      </w:r>
      <w:r>
        <w:rPr>
          <w:color w:val="000000"/>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MATERIAL &amp; METHODS</w:t>
      </w:r>
    </w:p>
    <w:p>
      <w:pPr>
        <w:pStyle w:val="LO-normal"/>
        <w:spacing w:lineRule="auto" w:line="480"/>
        <w:rPr>
          <w:color w:val="000000"/>
        </w:rPr>
      </w:pPr>
      <w:r>
        <w:rPr>
          <w:b/>
          <w:bCs/>
          <w:color w:val="000000"/>
        </w:rPr>
        <w:t>Plain summary of the analytical approach</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We synthesized studies spanning three decades of research on taxonomic bias. Because these studies used different methods (e.g., surveys, bibliometric analyses, funding databases) and measured different outcomes (research effort, public knowledge, conservation funding), we first converted all results to a common metric – correlation coefficients – that allowed direct comparison. We then asked four main questions: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1. </w:t>
      </w:r>
      <w:r>
        <w:rPr>
          <w:rStyle w:val="Strong"/>
          <w:rFonts w:eastAsia="Arial" w:cs="Arial"/>
          <w:b w:val="false"/>
          <w:bCs w:val="false"/>
          <w:i w:val="false"/>
          <w:iCs w:val="false"/>
          <w:color w:val="000000"/>
          <w:kern w:val="0"/>
          <w:sz w:val="22"/>
          <w:szCs w:val="22"/>
          <w:lang w:val="en-US" w:eastAsia="zh-CN" w:bidi="hi-IN"/>
        </w:rPr>
        <w:t>Is bias real?</w:t>
      </w:r>
      <w:r>
        <w:rPr>
          <w:rStyle w:val="Emphasis"/>
          <w:rFonts w:eastAsia="Arial" w:cs="Arial"/>
          <w:b w:val="false"/>
          <w:bCs w:val="false"/>
          <w:i w:val="false"/>
          <w:iCs w:val="false"/>
          <w:color w:val="000000"/>
          <w:kern w:val="0"/>
          <w:sz w:val="22"/>
          <w:szCs w:val="22"/>
          <w:lang w:val="en-US" w:eastAsia="zh-CN" w:bidi="hi-IN"/>
        </w:rPr>
        <w:t xml:space="preserve"> We combined results across all studies to estimate an average effect size. A positive average would indicate bias; an effect near zero or negative would suggest bias is inconsistent or absent.</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2. </w:t>
      </w:r>
      <w:r>
        <w:rPr>
          <w:rStyle w:val="Strong"/>
          <w:rFonts w:eastAsia="Arial" w:cs="Arial"/>
          <w:b w:val="false"/>
          <w:bCs w:val="false"/>
          <w:i w:val="false"/>
          <w:iCs w:val="false"/>
          <w:color w:val="000000"/>
          <w:kern w:val="0"/>
          <w:sz w:val="22"/>
          <w:szCs w:val="22"/>
          <w:lang w:val="en-US" w:eastAsia="zh-CN" w:bidi="hi-IN"/>
        </w:rPr>
        <w:t>How strong is it?</w:t>
      </w:r>
      <w:r>
        <w:rPr>
          <w:rStyle w:val="Emphasis"/>
          <w:rFonts w:eastAsia="Arial" w:cs="Arial"/>
          <w:b w:val="false"/>
          <w:bCs w:val="false"/>
          <w:i w:val="false"/>
          <w:iCs w:val="false"/>
          <w:color w:val="000000"/>
          <w:kern w:val="0"/>
          <w:sz w:val="22"/>
          <w:szCs w:val="22"/>
          <w:lang w:val="en-US" w:eastAsia="zh-CN" w:bidi="hi-IN"/>
        </w:rPr>
        <w:t xml:space="preserve"> We compared the magnitude of estimated effects to quantify which bias estimates are stronger.</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3. </w:t>
      </w:r>
      <w:r>
        <w:rPr>
          <w:rStyle w:val="Strong"/>
          <w:rFonts w:eastAsia="Arial" w:cs="Arial"/>
          <w:b w:val="false"/>
          <w:bCs w:val="false"/>
          <w:i w:val="false"/>
          <w:iCs w:val="false"/>
          <w:color w:val="000000"/>
          <w:kern w:val="0"/>
          <w:sz w:val="22"/>
          <w:szCs w:val="22"/>
          <w:lang w:val="en-US" w:eastAsia="zh-CN" w:bidi="hi-IN"/>
        </w:rPr>
        <w:t>Does bias vary by context?</w:t>
      </w:r>
      <w:r>
        <w:rPr>
          <w:rStyle w:val="Emphasis"/>
          <w:rFonts w:eastAsia="Arial" w:cs="Arial"/>
          <w:b w:val="false"/>
          <w:bCs w:val="false"/>
          <w:i w:val="false"/>
          <w:iCs w:val="false"/>
          <w:color w:val="000000"/>
          <w:kern w:val="0"/>
          <w:sz w:val="22"/>
          <w:szCs w:val="22"/>
          <w:lang w:val="en-US" w:eastAsia="zh-CN" w:bidi="hi-IN"/>
        </w:rPr>
        <w:t xml:space="preserve"> We tested whether biases are stronger for certain taxa, continents, study designs (surveys vs. bibliometrics), or bias drivers.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4. </w:t>
      </w:r>
      <w:r>
        <w:rPr>
          <w:rStyle w:val="Strong"/>
          <w:rFonts w:eastAsia="Arial" w:cs="Arial"/>
          <w:b w:val="false"/>
          <w:bCs w:val="false"/>
          <w:i w:val="false"/>
          <w:iCs w:val="false"/>
          <w:color w:val="000000"/>
          <w:kern w:val="0"/>
          <w:sz w:val="22"/>
          <w:szCs w:val="22"/>
          <w:lang w:val="en-US" w:eastAsia="zh-CN" w:bidi="hi-IN"/>
        </w:rPr>
        <w:t>Is the literature itself biased?</w:t>
      </w:r>
      <w:r>
        <w:rPr>
          <w:rStyle w:val="Emphasis"/>
          <w:rFonts w:eastAsia="Arial" w:cs="Arial"/>
          <w:b w:val="false"/>
          <w:bCs w:val="false"/>
          <w:i w:val="false"/>
          <w:iCs w:val="false"/>
          <w:color w:val="000000"/>
          <w:kern w:val="0"/>
          <w:sz w:val="22"/>
          <w:szCs w:val="22"/>
          <w:lang w:val="en-US" w:eastAsia="zh-CN" w:bidi="hi-IN"/>
        </w:rPr>
        <w:t xml:space="preserve"> We checked whether small studies tend to report larger biases – a warning sign that publication bias may be inflating reported effects.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Throughout, we used statistical models that account for dependencies in the data (multiple results per study, multiple studies per research group) and that explicitly quantify uncertainty in our estimates. Indeed, 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In other words, heterogeneity in our dataset is substantively meaningful: different study designs, taxonomic groups, and geographic contexts may reveal different facets or magnitudes of bias.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Literature search</w:t>
      </w:r>
    </w:p>
    <w:p>
      <w:pPr>
        <w:pStyle w:val="LO-normal"/>
        <w:spacing w:lineRule="auto" w:line="480"/>
        <w:jc w:val="both"/>
        <w:rPr/>
      </w:pPr>
      <w:r>
        <w:rPr>
          <w:color w:val="000000"/>
        </w:rPr>
        <w:t xml:space="preserve">We systematically collected </w:t>
      </w:r>
      <w:r>
        <w:rPr>
          <w:color w:val="000000"/>
        </w:rPr>
        <w:t xml:space="preserve">a sample of </w:t>
      </w:r>
      <w:r>
        <w:rPr>
          <w:color w:val="000000"/>
        </w:rPr>
        <w:t xml:space="preserve">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color w:val="000000"/>
          </w:rPr>
          <w:t xml:space="preserve">(Moher </w:t>
        </w:r>
      </w:hyperlink>
      <w:hyperlink r:id="rId34">
        <w:r>
          <w:rPr>
            <w:rStyle w:val="Style3"/>
            <w:i/>
            <w:iCs/>
            <w:color w:val="000000"/>
          </w:rPr>
          <w:t>et al.</w:t>
        </w:r>
      </w:hyperlink>
      <w:hyperlink r:id="rId35">
        <w:r>
          <w:rPr>
            <w:rStyle w:val="Style3"/>
            <w:color w:val="000000"/>
          </w:rPr>
          <w:t xml:space="preserve"> 2009; Page </w:t>
        </w:r>
      </w:hyperlink>
      <w:hyperlink r:id="rId36">
        <w:r>
          <w:rPr>
            <w:rStyle w:val="Style3"/>
            <w:i/>
            <w:iCs/>
            <w:color w:val="000000"/>
          </w:rPr>
          <w:t>et al.</w:t>
        </w:r>
      </w:hyperlink>
      <w:hyperlink r:id="rId37">
        <w:r>
          <w:rPr>
            <w:rStyle w:val="Style3"/>
            <w:color w:val="000000"/>
          </w:rPr>
          <w:t xml:space="preserve"> 2021)</w:t>
        </w:r>
      </w:hyperlink>
      <w:r>
        <w:rPr>
          <w:color w:val="000000"/>
        </w:rPr>
        <w:t xml:space="preserve"> (Figure S1). We used the following searching string: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i/>
          <w:iCs/>
          <w:color w:val="000000"/>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color w:val="000000"/>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Inclusion criteria</w:t>
      </w:r>
    </w:p>
    <w:p>
      <w:pPr>
        <w:pStyle w:val="LO-normal"/>
        <w:spacing w:lineRule="auto" w:line="480"/>
        <w:ind w:hanging="0" w:left="0"/>
        <w:jc w:val="both"/>
        <w:rPr>
          <w:color w:val="000000"/>
        </w:rPr>
      </w:pPr>
      <w:r>
        <w:rPr>
          <w:color w:val="000000"/>
        </w:rPr>
        <w:t xml:space="preserve">We included studies that met the following criteria: (1) focused on species-level biodiversity across any habitat, ecosystem, biome; (2) quantified any form of awareness </w:t>
      </w:r>
      <w:r>
        <w:rPr>
          <w:color w:val="000000"/>
        </w:rPr>
        <w:t xml:space="preserve">of </w:t>
      </w:r>
      <w:r>
        <w:rPr>
          <w:color w:val="000000"/>
        </w:rPr>
        <w:t xml:space="preserve">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color w:val="000000"/>
        </w:rPr>
      </w:pPr>
      <w:r>
        <w:rPr>
          <w:color w:val="000000"/>
        </w:rPr>
        <w:t>To assess the effectiveness of our inclusion criteria, we ran inter-rater agreement (</w:t>
      </w:r>
      <w:r>
        <w:rPr>
          <w:color w:val="000000"/>
        </w:rPr>
        <w:t xml:space="preserve">Cohen, 1960) </w:t>
      </w:r>
      <w:r>
        <w:rPr>
          <w:color w:val="000000"/>
        </w:rPr>
        <w:t>tests between two authors who independently scored 100 studies. We calculated the agreement level with Cohen’s kappa (</w:t>
      </w:r>
      <w:r>
        <w:rPr>
          <w:color w:val="000000"/>
        </w:rPr>
        <w:t>Cohen, 1960)</w:t>
      </w:r>
      <w:r>
        <w:rPr>
          <w:color w:val="000000"/>
        </w:rPr>
        <w:t>, which yielded an excellent level of repeatability (Cohen’s kappa: 0.89; 95% confidence interval [CI]: 0.82–0.95).</w:t>
      </w:r>
    </w:p>
    <w:p>
      <w:pPr>
        <w:pStyle w:val="LO-normal"/>
        <w:spacing w:lineRule="auto" w:line="480"/>
        <w:ind w:firstLine="720"/>
        <w:jc w:val="both"/>
        <w:rPr>
          <w:color w:val="000000"/>
        </w:rPr>
      </w:pPr>
      <w:r>
        <w:rPr>
          <w:color w:val="000000"/>
        </w:rPr>
      </w:r>
    </w:p>
    <w:p>
      <w:pPr>
        <w:pStyle w:val="LO-normal"/>
        <w:spacing w:lineRule="auto" w:line="480"/>
        <w:ind w:hanging="0" w:left="0"/>
        <w:jc w:val="both"/>
        <w:rPr>
          <w:color w:val="000000"/>
        </w:rPr>
      </w:pPr>
      <w:r>
        <w:rPr>
          <w:b/>
          <w:bCs/>
          <w:color w:val="000000"/>
        </w:rPr>
        <w:t>Data extraction</w:t>
      </w:r>
    </w:p>
    <w:p>
      <w:pPr>
        <w:pStyle w:val="LO-normal"/>
        <w:spacing w:lineRule="auto" w:line="480" w:before="240" w:after="240"/>
        <w:ind w:hanging="0" w:left="0"/>
        <w:jc w:val="both"/>
        <w:rPr>
          <w:color w:val="000000"/>
        </w:rPr>
      </w:pPr>
      <w:r>
        <w:rPr>
          <w:color w:val="000000"/>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color w:val="000000"/>
        </w:rPr>
      </w:pPr>
      <w:r>
        <w:rPr>
          <w:color w:val="000000"/>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color w:val="000000"/>
        </w:rPr>
      </w:pPr>
      <w:r>
        <w:rPr>
          <w:color w:val="000000"/>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color w:val="000000"/>
        </w:rPr>
      </w:pPr>
      <w:r>
        <w:rPr>
          <w:color w:val="000000"/>
        </w:rPr>
        <w:tab/>
        <w:t>We categorized independent variables (predictors of bias) into five broad, conceptually distinct categories,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rPr>
          <w:i/>
          <w:iCs/>
          <w:color w:val="000000"/>
        </w:rPr>
      </w:pPr>
      <w:r>
        <w:rPr>
          <w:i/>
          <w:iCs/>
          <w:color w:val="000000"/>
        </w:rPr>
      </w:r>
    </w:p>
    <w:p>
      <w:pPr>
        <w:pStyle w:val="LO-normal"/>
        <w:spacing w:lineRule="auto" w:line="480"/>
        <w:rPr>
          <w:color w:val="000000"/>
        </w:rPr>
      </w:pPr>
      <w:r>
        <w:rPr>
          <w:b/>
          <w:bCs/>
          <w:color w:val="000000"/>
        </w:rPr>
        <w:t>Effect size calculation</w:t>
      </w:r>
    </w:p>
    <w:p>
      <w:pPr>
        <w:pStyle w:val="LO-normal"/>
        <w:spacing w:lineRule="auto" w:line="480" w:before="240" w:after="240"/>
        <w:jc w:val="both"/>
        <w:rPr>
          <w:color w:val="000000"/>
        </w:rPr>
      </w:pPr>
      <w:r>
        <w:rPr>
          <w:color w:val="000000"/>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color w:val="000000"/>
        </w:rPr>
        <w:t>r</w:t>
      </w:r>
      <w:r>
        <w:rPr>
          <w:color w:val="000000"/>
        </w:rPr>
        <w:t xml:space="preserve">), using standard conversion formulas (Lajeunesse, 2013). Pearson’s </w:t>
      </w:r>
      <w:r>
        <w:rPr>
          <w:i/>
          <w:iCs/>
          <w:color w:val="000000"/>
        </w:rPr>
        <w:t>r</w:t>
      </w:r>
      <w:r>
        <w:rPr>
          <w:rFonts w:eastAsia="Arial Unicode MS" w:cs="Arial Unicode MS" w:ascii="Arial Unicode MS" w:hAnsi="Arial Unicode MS"/>
          <w:color w:val="000000"/>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color w:val="000000"/>
        </w:rPr>
        <w:t>We selected this metric over others because most studies in our dataset were expected to report correlative relationships between continuous variables.</w:t>
      </w:r>
      <w:r>
        <w:rPr>
          <w:rFonts w:eastAsia="Arial Unicode MS" w:cs="Arial Unicode MS" w:ascii="Arial Unicode MS" w:hAnsi="Arial Unicode MS"/>
          <w:color w:val="000000"/>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color w:val="000000"/>
        </w:rPr>
        <w:t>r</w:t>
      </w:r>
      <w:r>
        <w:rPr>
          <w:color w:val="000000"/>
        </w:rPr>
        <w:t>) is not defined for higher-dimensional contingency tables. We treated all resulting effect sizes as correlation-equivalent measures of association.</w:t>
      </w:r>
    </w:p>
    <w:p>
      <w:pPr>
        <w:pStyle w:val="LO-normal"/>
        <w:spacing w:lineRule="auto" w:line="480" w:before="240" w:after="240"/>
        <w:jc w:val="both"/>
        <w:rPr>
          <w:color w:val="000000"/>
        </w:rPr>
      </w:pPr>
      <w:r>
        <w:rPr>
          <w:color w:val="000000"/>
        </w:rPr>
      </w:r>
    </w:p>
    <w:p>
      <w:pPr>
        <w:pStyle w:val="LO-normal"/>
        <w:spacing w:lineRule="auto" w:line="480" w:before="240" w:after="240"/>
        <w:jc w:val="both"/>
        <w:rPr>
          <w:color w:val="000000"/>
        </w:rPr>
      </w:pPr>
      <w:r>
        <w:rPr>
          <w:b/>
          <w:bCs/>
          <w:color w:val="000000"/>
        </w:rPr>
        <w:t>Data analysis</w:t>
      </w:r>
    </w:p>
    <w:p>
      <w:pPr>
        <w:pStyle w:val="LO-normal"/>
        <w:spacing w:lineRule="auto" w:line="480"/>
        <w:jc w:val="both"/>
        <w:rPr/>
      </w:pPr>
      <w:r>
        <w:rPr>
          <w:color w:val="000000"/>
        </w:rPr>
        <w:t xml:space="preserve">We conducted analyses in R version 4.4.1 </w:t>
      </w:r>
      <w:hyperlink r:id="rId38">
        <w:r>
          <w:rPr>
            <w:rStyle w:val="Style3"/>
            <w:color w:val="000000"/>
          </w:rPr>
          <w:t>(R Core Team 2024)</w:t>
        </w:r>
      </w:hyperlink>
      <w:r>
        <w:rPr>
          <w:color w:val="000000"/>
        </w:rPr>
        <w:t xml:space="preserve">, primarily through the </w:t>
      </w:r>
      <w:r>
        <w:rPr>
          <w:i/>
          <w:iCs/>
          <w:color w:val="000000"/>
        </w:rPr>
        <w:t>metafor</w:t>
      </w:r>
      <w:r>
        <w:rPr>
          <w:color w:val="000000"/>
        </w:rPr>
        <w:t xml:space="preserve"> package version 4.8-0 </w:t>
      </w:r>
      <w:hyperlink r:id="rId39">
        <w:r>
          <w:rPr>
            <w:rStyle w:val="Style3"/>
            <w:color w:val="000000"/>
          </w:rPr>
          <w:t>(Viechtbauer 2010)</w:t>
        </w:r>
      </w:hyperlink>
      <w:r>
        <w:rPr>
          <w:color w:val="000000"/>
        </w:rPr>
        <w:t>.</w:t>
      </w:r>
    </w:p>
    <w:p>
      <w:pPr>
        <w:pStyle w:val="LO-normal"/>
        <w:spacing w:lineRule="auto" w:line="480"/>
        <w:jc w:val="both"/>
        <w:rPr>
          <w:color w:val="000000"/>
        </w:rPr>
      </w:pPr>
      <w:r>
        <w:rPr>
          <w:color w:val="000000"/>
        </w:rPr>
      </w:r>
    </w:p>
    <w:p>
      <w:pPr>
        <w:pStyle w:val="LO-normal"/>
        <w:spacing w:lineRule="auto" w:line="480"/>
        <w:rPr>
          <w:color w:val="000000"/>
        </w:rPr>
      </w:pPr>
      <w:r>
        <w:rPr>
          <w:i/>
          <w:iCs/>
          <w:color w:val="000000"/>
        </w:rPr>
        <w:t>Meta-analysis</w:t>
      </w:r>
    </w:p>
    <w:p>
      <w:pPr>
        <w:pStyle w:val="LO-normal"/>
        <w:spacing w:lineRule="auto" w:line="480" w:before="240" w:after="240"/>
        <w:jc w:val="both"/>
        <w:rPr/>
      </w:pPr>
      <w:r>
        <w:rPr>
          <w:color w:val="000000"/>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color w:val="000000"/>
        </w:rPr>
        <w:t>r</w:t>
      </w:r>
      <w:r>
        <w:rPr>
          <w:color w:val="000000"/>
        </w:rPr>
        <w:t xml:space="preserve"> to Fisher's z values prior to analysis </w:t>
      </w:r>
      <w:hyperlink r:id="rId40">
        <w:r>
          <w:rPr>
            <w:rStyle w:val="Style3"/>
            <w:color w:val="000000"/>
          </w:rPr>
          <w:t xml:space="preserve">(Rosenberg </w:t>
        </w:r>
      </w:hyperlink>
      <w:hyperlink r:id="rId41">
        <w:r>
          <w:rPr>
            <w:rStyle w:val="Style3"/>
            <w:i/>
            <w:iCs/>
            <w:color w:val="000000"/>
          </w:rPr>
          <w:t>et al.</w:t>
        </w:r>
      </w:hyperlink>
      <w:hyperlink r:id="rId42">
        <w:r>
          <w:rPr>
            <w:rStyle w:val="Style3"/>
            <w:color w:val="000000"/>
          </w:rPr>
          <w:t xml:space="preserve"> 2013)</w:t>
        </w:r>
      </w:hyperlink>
      <w:r>
        <w:rPr>
          <w:color w:val="000000"/>
        </w:rPr>
        <w:t xml:space="preserve">. For reporting and visualisation, we back-transformed model estimates and their 95% confidence intervals to Pearson's </w:t>
      </w:r>
      <w:r>
        <w:rPr>
          <w:i/>
          <w:iCs/>
          <w:color w:val="000000"/>
        </w:rPr>
        <w:t>r</w:t>
      </w:r>
      <w:r>
        <w:rPr>
          <w:color w:val="000000"/>
        </w:rPr>
        <w:t>. We considered estimates statistically significant when their 95% confidence intervals did not include zero.</w:t>
      </w:r>
    </w:p>
    <w:p>
      <w:pPr>
        <w:pStyle w:val="LO-normal"/>
        <w:spacing w:lineRule="auto" w:line="480" w:before="240" w:after="240"/>
        <w:ind w:firstLine="720"/>
        <w:jc w:val="both"/>
        <w:rPr>
          <w:color w:val="000000"/>
        </w:rPr>
      </w:pPr>
      <w:r>
        <w:rPr>
          <w:color w:val="000000"/>
        </w:rPr>
        <w:t>As we interpreted the five predictors of taxonomic bias (Table 1)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Table 1)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color w:val="000000"/>
        </w:rPr>
      </w:pPr>
      <w:r>
        <w:rPr>
          <w:color w:val="000000"/>
        </w:rPr>
      </w:r>
    </w:p>
    <w:p>
      <w:pPr>
        <w:pStyle w:val="LO-normal"/>
        <w:spacing w:lineRule="auto" w:line="480"/>
        <w:jc w:val="both"/>
        <w:rPr>
          <w:color w:val="000000"/>
        </w:rPr>
      </w:pPr>
      <w:r>
        <w:rPr>
          <w:i/>
          <w:iCs/>
          <w:color w:val="000000"/>
        </w:rPr>
        <w:t>Publication bias</w:t>
      </w:r>
    </w:p>
    <w:p>
      <w:pPr>
        <w:pStyle w:val="LO-normal"/>
        <w:spacing w:lineRule="auto" w:line="480" w:before="240" w:after="240"/>
        <w:jc w:val="both"/>
        <w:rPr>
          <w:color w:val="000000"/>
        </w:rPr>
      </w:pPr>
      <w:r>
        <w:rPr>
          <w:color w:val="000000"/>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color w:val="000000"/>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color w:val="000000"/>
          </w:rPr>
          <w:t xml:space="preserve">(Sterne </w:t>
        </w:r>
      </w:hyperlink>
      <w:hyperlink r:id="rId44">
        <w:r>
          <w:rPr>
            <w:rStyle w:val="Style3"/>
            <w:i/>
            <w:iCs/>
            <w:color w:val="000000"/>
          </w:rPr>
          <w:t>et al.</w:t>
        </w:r>
      </w:hyperlink>
      <w:hyperlink r:id="rId45">
        <w:r>
          <w:rPr>
            <w:rStyle w:val="Style3"/>
            <w:color w:val="000000"/>
          </w:rPr>
          <w:t xml:space="preserve"> 2011)</w:t>
        </w:r>
      </w:hyperlink>
      <w:r>
        <w:rPr>
          <w:color w:val="000000"/>
        </w:rPr>
        <w:t>.</w:t>
      </w:r>
    </w:p>
    <w:p>
      <w:pPr>
        <w:pStyle w:val="LO-normal"/>
        <w:spacing w:lineRule="auto" w:line="480" w:before="240" w:after="240"/>
        <w:ind w:firstLine="720" w:left="0"/>
        <w:jc w:val="both"/>
        <w:rPr/>
      </w:pPr>
      <w:r>
        <w:rPr>
          <w:color w:val="000000"/>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color w:val="000000"/>
          </w:rPr>
          <w:t xml:space="preserve">(Egger </w:t>
        </w:r>
      </w:hyperlink>
      <w:hyperlink r:id="rId47">
        <w:r>
          <w:rPr>
            <w:rStyle w:val="Style3"/>
            <w:i/>
            <w:iCs/>
            <w:color w:val="000000"/>
          </w:rPr>
          <w:t>et al.</w:t>
        </w:r>
      </w:hyperlink>
      <w:hyperlink r:id="rId48">
        <w:r>
          <w:rPr>
            <w:rStyle w:val="Style3"/>
            <w:color w:val="000000"/>
          </w:rPr>
          <w:t xml:space="preserve"> 1997)</w:t>
        </w:r>
      </w:hyperlink>
      <w:r>
        <w:rPr>
          <w:color w:val="000000"/>
        </w:rPr>
        <w:t>.</w:t>
      </w:r>
    </w:p>
    <w:p>
      <w:pPr>
        <w:pStyle w:val="LO-normal"/>
        <w:spacing w:lineRule="auto" w:line="480" w:before="240" w:after="240"/>
        <w:ind w:firstLine="720"/>
        <w:jc w:val="both"/>
        <w:rPr>
          <w:color w:val="000000"/>
        </w:rPr>
      </w:pPr>
      <w:r>
        <w:rPr>
          <w:color w:val="000000"/>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pacing w:lineRule="auto" w:line="480" w:before="280" w:after="0"/>
        <w:ind w:hanging="0" w:left="0" w:right="0"/>
        <w:jc w:val="both"/>
        <w:rPr>
          <w:b/>
          <w:bCs/>
          <w:color w:val="000000"/>
        </w:rPr>
      </w:pPr>
      <w:r>
        <w:rPr>
          <w:b/>
          <w:bCs/>
          <w:color w:val="000000"/>
        </w:rPr>
      </w:r>
    </w:p>
    <w:p>
      <w:pPr>
        <w:pStyle w:val="LO-normal"/>
        <w:widowControl/>
        <w:spacing w:lineRule="auto" w:line="480" w:before="280" w:after="0"/>
        <w:ind w:hanging="0" w:left="0" w:right="0"/>
        <w:jc w:val="both"/>
        <w:rPr>
          <w:color w:val="000000"/>
        </w:rPr>
      </w:pPr>
      <w:r>
        <w:rPr>
          <w:b/>
          <w:bCs/>
          <w:color w:val="000000"/>
        </w:rPr>
        <w:t>RESULTS</w:t>
      </w:r>
    </w:p>
    <w:p>
      <w:pPr>
        <w:pStyle w:val="LO-normal"/>
        <w:keepNext w:val="false"/>
        <w:keepLines w:val="false"/>
        <w:spacing w:lineRule="auto" w:line="480" w:before="280" w:after="0"/>
        <w:jc w:val="both"/>
        <w:rPr>
          <w:color w:val="000000"/>
        </w:rPr>
      </w:pPr>
      <w:r>
        <w:rPr>
          <w:b/>
          <w:bCs/>
          <w:color w:val="000000"/>
        </w:rPr>
        <w:t>A general overview of the research field</w:t>
      </w:r>
    </w:p>
    <w:p>
      <w:pPr>
        <w:pStyle w:val="LO-normal"/>
        <w:spacing w:lineRule="auto" w:line="480" w:before="240" w:after="240"/>
        <w:jc w:val="both"/>
        <w:rPr>
          <w:color w:val="000000"/>
        </w:rPr>
      </w:pPr>
      <w:r>
        <w:rPr>
          <w:color w:val="000000"/>
        </w:rPr>
        <w:t xml:space="preserve">Our systematic literature search identified 78 studies, out of 1541 screened, that met our inclusion criteria (Figure S1), yielding 905 effect-size estimates for analysis </w:t>
      </w:r>
      <w:r>
        <w:rPr>
          <w:color w:val="000000"/>
        </w:rPr>
        <w:t>(median number of effect sizes per study = 4; range = 1–310)</w:t>
      </w:r>
      <w:r>
        <w:rPr>
          <w:color w:val="000000"/>
        </w:rPr>
        <w:t>. Bias in biodiversity knowledge and perception was examined across a wide range of time frames (Figure 1A), geographic regions (Figure 1B), taxa (Figure 1C), and study designs (Figure 1D).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color w:val="000000"/>
        </w:rPr>
      </w:pPr>
      <w:r>
        <w:rPr>
          <w:color w:val="000000"/>
        </w:rPr>
      </w:r>
    </w:p>
    <w:p>
      <w:pPr>
        <w:pStyle w:val="LO-normal"/>
        <w:spacing w:lineRule="auto" w:line="480"/>
        <w:rPr>
          <w:color w:val="000000"/>
        </w:rPr>
      </w:pPr>
      <w:r>
        <w:rPr>
          <w:b/>
          <w:bCs/>
          <w:color w:val="000000"/>
        </w:rPr>
        <w:t>Global disparities in biodiversity knowledge and perception</w:t>
      </w:r>
    </w:p>
    <w:p>
      <w:pPr>
        <w:pStyle w:val="LO-normal"/>
        <w:spacing w:lineRule="auto" w:line="480" w:before="240" w:after="240"/>
        <w:jc w:val="both"/>
        <w:rPr>
          <w:color w:val="000000"/>
        </w:rPr>
      </w:pPr>
      <w:r>
        <w:rPr>
          <w:color w:val="000000"/>
        </w:rPr>
        <w:t xml:space="preserve">Meta-analysis across the full dataset revealed a statistically significant positive bias in biodiversity knowledge and perception for measures of general bias (Pearson’s </w:t>
      </w:r>
      <w:r>
        <w:rPr>
          <w:i/>
          <w:iCs/>
          <w:color w:val="000000"/>
        </w:rPr>
        <w:t>r</w:t>
      </w:r>
      <w:r>
        <w:rPr>
          <w:color w:val="000000"/>
        </w:rPr>
        <w:t xml:space="preserve"> = 0.40; 95% CI: 0.10–0.61), a smaller but still significant effect for measures of appearance (</w:t>
      </w:r>
      <w:r>
        <w:rPr>
          <w:i/>
          <w:iCs/>
          <w:color w:val="000000"/>
        </w:rPr>
        <w:t>r</w:t>
      </w:r>
      <w:r>
        <w:rPr>
          <w:color w:val="000000"/>
        </w:rPr>
        <w:t xml:space="preserve"> = 0.18; CI: 0.08–0.27), commonness (</w:t>
      </w:r>
      <w:r>
        <w:rPr>
          <w:i/>
          <w:iCs/>
          <w:color w:val="000000"/>
        </w:rPr>
        <w:t>r</w:t>
      </w:r>
      <w:r>
        <w:rPr>
          <w:color w:val="000000"/>
        </w:rPr>
        <w:t xml:space="preserve"> = 0.17; CI: 0.07–0.26), and utilitarianism (</w:t>
      </w:r>
      <w:r>
        <w:rPr>
          <w:i/>
          <w:iCs/>
          <w:color w:val="000000"/>
        </w:rPr>
        <w:t>r</w:t>
      </w:r>
      <w:r>
        <w:rPr>
          <w:color w:val="000000"/>
        </w:rPr>
        <w:t xml:space="preserve"> = 0.15; CI: 0.02–0.29), and no effect for conservation (</w:t>
      </w:r>
      <w:r>
        <w:rPr>
          <w:i/>
          <w:iCs/>
          <w:color w:val="000000"/>
        </w:rPr>
        <w:t>r</w:t>
      </w:r>
      <w:r>
        <w:rPr>
          <w:color w:val="000000"/>
        </w:rPr>
        <w:t xml:space="preserve"> = 0.02; CI: -0.01–0.07). While most effect-size estimates clustered around zero, all distributions of effect sizes were right-skewed, with a long tail of predominantly positive values, indicating that bias is widespread but generally modest in magnitude (Figure 2A). More nuanced patterns emerged when zooming in within these independent variables (Figure 2B).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 (e.g., funding) is distributed for a given taxon compared to a control, often with very large contrasts (e.g., plants versus animals, ectotherm versus endotherm vertebrates, or invertebrates versus vertebrates). The strongest positive effect emerged for plants (</w:t>
      </w:r>
      <w:r>
        <w:rPr>
          <w:i/>
          <w:iCs/>
          <w:color w:val="000000"/>
        </w:rPr>
        <w:t>r</w:t>
      </w:r>
      <w:r>
        <w:rPr>
          <w:color w:val="000000"/>
        </w:rPr>
        <w:t xml:space="preserve"> = 0.55; CI: 0.26–0.75) and invertebrates (</w:t>
      </w:r>
      <w:r>
        <w:rPr>
          <w:i/>
          <w:iCs/>
          <w:color w:val="000000"/>
        </w:rPr>
        <w:t>r</w:t>
      </w:r>
      <w:r>
        <w:rPr>
          <w:color w:val="000000"/>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color w:val="000000"/>
        </w:rPr>
      </w:pPr>
      <w:r>
        <w:rPr>
          <w:color w:val="000000"/>
        </w:rPr>
        <w:t xml:space="preserve">The overall pattern of a widespread prevalence of bias was mostly consistent across study designs (Figure 3A), although survey-based studies tended to yield larger effect sizes than data-mining approaches (except for appearance, where no pattern was detected). Effect sizes also varied more markedly depending on how bias was operationalized in terms of dependent variables (Figure 3B).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(Figure 3C). Finally, greater heterogeneity emerged with respect to the taxonomic scope of studies, at times attributable to varying sample sizes (Figure 3D).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color w:val="000000"/>
        </w:rPr>
      </w:pPr>
      <w:r>
        <w:rPr>
          <w:b/>
          <w:bCs/>
          <w:color w:val="000000"/>
        </w:rPr>
      </w:r>
    </w:p>
    <w:p>
      <w:pPr>
        <w:pStyle w:val="LO-normal"/>
        <w:spacing w:lineRule="auto" w:line="480" w:before="240" w:after="240"/>
        <w:ind w:hanging="0" w:left="0"/>
        <w:jc w:val="both"/>
        <w:rPr>
          <w:color w:val="000000"/>
        </w:rPr>
      </w:pPr>
      <w:r>
        <w:rPr>
          <w:b/>
          <w:bCs/>
          <w:color w:val="000000"/>
        </w:rPr>
        <w:t>Bias in studies on bias</w:t>
      </w:r>
    </w:p>
    <w:p>
      <w:pPr>
        <w:pStyle w:val="LO-normal"/>
        <w:spacing w:lineRule="auto" w:line="480" w:before="240" w:after="240"/>
        <w:jc w:val="both"/>
        <w:rPr>
          <w:color w:val="000000"/>
        </w:rPr>
      </w:pPr>
      <w:r>
        <w:rPr>
          <w:color w:val="000000"/>
        </w:rPr>
        <w:t xml:space="preserve">Visual inspection of the study-level funnel plot suggested asymmetry consistent with small-study effects, whereby smaller studies tended to report larger positive estimates (Figure S2).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color w:val="000000"/>
        </w:rPr>
        <w:t>p</w:t>
      </w:r>
      <w:r>
        <w:rPr>
          <w:color w:val="000000"/>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color w:val="000000"/>
        </w:rPr>
      </w:pPr>
      <w:r>
        <w:rPr>
          <w:rFonts w:eastAsia="Arial Unicode MS" w:cs="Arial Unicode MS" w:ascii="Arial Unicode MS" w:hAnsi="Arial Unicode MS"/>
          <w:color w:val="000000"/>
        </w:rPr>
        <w:t xml:space="preserve">In contrast, there was no evidence for time-lag bias, as effect sizes did not systematically vary with publication year (β ± SE = −0.0005 ± 0.06, </w:t>
      </w:r>
      <w:r>
        <w:rPr>
          <w:i/>
          <w:iCs/>
          <w:color w:val="000000"/>
        </w:rPr>
        <w:t>p</w:t>
      </w:r>
      <w:r>
        <w:rPr>
          <w:color w:val="000000"/>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color w:val="000000"/>
        </w:rPr>
      </w:pPr>
      <w:r>
        <w:rPr>
          <w:color w:val="000000"/>
        </w:rPr>
      </w:r>
    </w:p>
    <w:p>
      <w:pPr>
        <w:pStyle w:val="LO-normal"/>
        <w:spacing w:lineRule="auto" w:line="480"/>
        <w:jc w:val="both"/>
        <w:rPr>
          <w:color w:val="000000"/>
        </w:rPr>
      </w:pPr>
      <w:r>
        <w:rPr>
          <w:b/>
          <w:bCs/>
          <w:color w:val="000000"/>
        </w:rPr>
        <w:t>DISCUSSION</w:t>
      </w:r>
    </w:p>
    <w:p>
      <w:pPr>
        <w:pStyle w:val="LO-normal"/>
        <w:spacing w:lineRule="auto" w:line="480" w:before="240" w:after="240"/>
        <w:ind w:hanging="0" w:left="0"/>
        <w:jc w:val="both"/>
        <w:rPr>
          <w:color w:val="000000"/>
        </w:rPr>
      </w:pPr>
      <w:r>
        <w:rPr>
          <w:color w:val="000000"/>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color w:val="000000"/>
        </w:rPr>
      </w:pPr>
      <w:r>
        <w:rPr>
          <w:color w:val="000000"/>
        </w:rPr>
        <w:t xml:space="preserve">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(Figure 2). However, the magnitude of these effects was generally small, with most standardized effect sizes well below </w:t>
      </w:r>
      <w:r>
        <w:rPr>
          <w:i/>
          <w:iCs/>
          <w:color w:val="000000"/>
        </w:rPr>
        <w:t>r</w:t>
      </w:r>
      <w:r>
        <w:rPr>
          <w:color w:val="000000"/>
        </w:rPr>
        <w:t xml:space="preserve"> = 0.5. This indicates that while biases are not exceptional anomalies but pervasive, they are typically modest in size rather than overwhelming (Figure 3). The system, it seems, is not fundamentally broken – just quietly and persistently skewed.  </w:t>
      </w:r>
    </w:p>
    <w:p>
      <w:pPr>
        <w:pStyle w:val="LO-normal"/>
        <w:spacing w:lineRule="auto" w:line="480" w:before="240" w:after="240"/>
        <w:ind w:firstLine="720"/>
        <w:jc w:val="both"/>
        <w:rPr/>
      </w:pPr>
      <w:r>
        <w:rPr>
          <w:color w:val="000000"/>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taxa, disparities between the most and least charismatic species are particularly pronounced </w:t>
      </w:r>
      <w:hyperlink r:id="rId49">
        <w:r>
          <w:rPr>
            <w:rStyle w:val="Style3"/>
            <w:color w:val="000000"/>
          </w:rPr>
          <w:t>(</w:t>
        </w:r>
      </w:hyperlink>
      <w:r>
        <w:rPr>
          <w:color w:val="000000"/>
        </w:rPr>
        <w:t xml:space="preserve">e.g., </w:t>
      </w:r>
      <w:hyperlink r:id="rId50">
        <w:r>
          <w:rPr>
            <w:rStyle w:val="Style3"/>
            <w:color w:val="000000"/>
          </w:rPr>
          <w:t>Frynta et al. 2013, dos Santos et al. 2020, Santangeli et al. 2023)</w:t>
        </w:r>
      </w:hyperlink>
      <w:r>
        <w:rPr>
          <w:color w:val="000000"/>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color w:val="000000"/>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color w:val="000000"/>
          </w:rPr>
          <w:t>(</w:t>
        </w:r>
      </w:hyperlink>
      <w:r>
        <w:rPr>
          <w:color w:val="000000"/>
        </w:rPr>
        <w:t xml:space="preserve">e.g., </w:t>
      </w:r>
      <w:hyperlink r:id="rId52">
        <w:r>
          <w:rPr>
            <w:rStyle w:val="Style3"/>
            <w:color w:val="000000"/>
          </w:rPr>
          <w:t>Negron-Ortiz 2014, Mammola et al. 2020, Adamo et al. 2022)</w:t>
        </w:r>
      </w:hyperlink>
      <w:r>
        <w:rPr>
          <w:color w:val="000000"/>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color w:val="000000"/>
          </w:rPr>
          <w:t xml:space="preserve">(Guenard </w:t>
        </w:r>
      </w:hyperlink>
      <w:hyperlink r:id="rId54">
        <w:r>
          <w:rPr>
            <w:rStyle w:val="Style3"/>
            <w:i/>
            <w:iCs/>
            <w:color w:val="000000"/>
          </w:rPr>
          <w:t>et al.</w:t>
        </w:r>
      </w:hyperlink>
      <w:hyperlink r:id="rId55">
        <w:r>
          <w:rPr>
            <w:rStyle w:val="Style3"/>
            <w:color w:val="000000"/>
          </w:rPr>
          <w:t xml:space="preserve"> 2025)</w:t>
        </w:r>
      </w:hyperlink>
      <w:r>
        <w:rPr>
          <w:color w:val="000000"/>
        </w:rPr>
        <w:t>. This research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color w:val="000000"/>
        </w:rPr>
        <w:t xml:space="preserve">Another result of particular relevance to biodiversity conservation is that conservation priority emerged as the only dimension not significantly associated with positive bias across study designs (except, curiously, in Oceania). In other words, research attention, funding, and public interest are not always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color w:val="000000"/>
          </w:rPr>
          <w:t>(Ellison 2016)</w:t>
        </w:r>
      </w:hyperlink>
      <w:r>
        <w:rPr>
          <w:color w:val="000000"/>
        </w:rPr>
        <w:t>.</w:t>
      </w:r>
    </w:p>
    <w:p>
      <w:pPr>
        <w:pStyle w:val="LO-normal"/>
        <w:spacing w:lineRule="auto" w:line="480" w:before="240" w:after="240"/>
        <w:ind w:firstLine="720"/>
        <w:jc w:val="both"/>
        <w:rPr>
          <w:color w:val="000000"/>
        </w:rPr>
      </w:pPr>
      <w:r>
        <w:rPr>
          <w:color w:val="000000"/>
        </w:rPr>
        <w:t>Importantly, our results also show that estimates of taxonomic bias reported in the literature are themselves subject to bias. Publication-bias analyses revealed evidence of small-study effects, whereby smaller studies tended to report larger effect sizes (Figure S2). Many of these studies relied on online surveys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jc w:val="both"/>
        <w:rPr>
          <w:color w:val="000000"/>
        </w:rPr>
      </w:pPr>
      <w:r>
        <w:rPr>
          <w:i/>
          <w:iCs/>
          <w:color w:val="000000"/>
        </w:rPr>
        <w:t>Study limitations</w:t>
      </w:r>
    </w:p>
    <w:p>
      <w:pPr>
        <w:pStyle w:val="BodyText"/>
        <w:spacing w:lineRule="auto" w:line="480" w:before="240" w:after="240"/>
        <w:ind w:hanging="0"/>
        <w:jc w:val="both"/>
        <w:rPr>
          <w:color w:val="000000"/>
        </w:rPr>
      </w:pPr>
      <w:r>
        <w:rPr>
          <w:rFonts w:eastAsia="Arial" w:cs="Arial"/>
          <w:b w:val="false"/>
          <w:bCs w:val="false"/>
          <w:i w:val="false"/>
          <w:iCs w:val="false"/>
          <w:color w:val="000000"/>
          <w:kern w:val="0"/>
          <w:sz w:val="22"/>
          <w:szCs w:val="22"/>
          <w:lang w:val="en-US" w:eastAsia="zh-CN" w:bidi="hi-IN"/>
        </w:rPr>
        <w:t xml:space="preserve">A first limitation relates to sample size. While the sheer number of estimates is high, these are distributed unevenly across independent variables and moderators, reflecting both the scientific interests of different research groups and the feasibility of studying certain features over others (the so-called "streetlight effect," whereby people are more likely to search for something where it is easiest to look). This implies varying confidence in the magnitude of estimates across taxa and regions. </w:t>
      </w:r>
      <w:r>
        <w:rPr>
          <w:rFonts w:eastAsia="Arial" w:cs="Arial"/>
          <w:b w:val="false"/>
          <w:bCs w:val="false"/>
          <w:i w:val="false"/>
          <w:iCs w:val="false"/>
          <w:color w:val="000000"/>
          <w:kern w:val="0"/>
          <w:sz w:val="22"/>
          <w:szCs w:val="22"/>
          <w:lang w:val="en-US" w:eastAsia="zh-CN" w:bidi="hi-IN"/>
        </w:rPr>
        <w:t>A poignant example of this is the bias in the meta-literature itself we documented here, with vertebrates dominating studies on bias. It is likely that birds and mammals benefit from greater availability of naturalistic observations, distribution data, genetic data, trait data, and cultural narratives. This data richness allows for far greater and more detailed research on the taxonomic bias affecting these groups.</w:t>
      </w:r>
      <w:r>
        <w:rPr>
          <w:rFonts w:eastAsia="Arial" w:cs="Arial"/>
          <w:b w:val="false"/>
          <w:bCs w:val="false"/>
          <w:i w:val="false"/>
          <w:iCs w:val="false"/>
          <w:color w:val="000000"/>
          <w:kern w:val="0"/>
          <w:sz w:val="22"/>
          <w:szCs w:val="22"/>
          <w:lang w:val="en-US" w:eastAsia="zh-CN" w:bidi="hi-IN"/>
        </w:rPr>
        <w:t xml:space="preserve"> As new studies accumulate, it will be possible to keep expanding our meta-analysis database and obtain stronger inference over time – </w:t>
      </w:r>
      <w:r>
        <w:rPr>
          <w:rFonts w:eastAsia="Arial" w:cs="Arial"/>
          <w:b w:val="false"/>
          <w:bCs w:val="false"/>
          <w:i w:val="false"/>
          <w:iCs w:val="false"/>
          <w:color w:val="000000"/>
          <w:kern w:val="0"/>
          <w:sz w:val="22"/>
          <w:szCs w:val="22"/>
          <w:lang w:val="en-US" w:eastAsia="zh-CN" w:bidi="hi-IN"/>
        </w:rPr>
        <w:t>but only if the taxonomic and geographic breadth of new studies also increases.</w:t>
      </w:r>
    </w:p>
    <w:p>
      <w:pPr>
        <w:pStyle w:val="BodyText"/>
        <w:spacing w:lineRule="auto" w:line="480"/>
        <w:jc w:val="both"/>
        <w:rPr/>
      </w:pPr>
      <w:r>
        <w:rPr>
          <w:rStyle w:val="Strong"/>
          <w:rFonts w:eastAsia="Arial" w:cs="Arial"/>
          <w:b w:val="false"/>
          <w:bCs w:val="false"/>
          <w:i w:val="false"/>
          <w:iCs w:val="false"/>
          <w:color w:val="000000"/>
          <w:kern w:val="0"/>
          <w:sz w:val="22"/>
          <w:szCs w:val="22"/>
          <w:lang w:val="en-US" w:eastAsia="zh-CN" w:bidi="hi-IN"/>
        </w:rPr>
        <w:tab/>
        <w:t>A second limitation concerns the subjectivity inherent in categorizing heterogeneous studies.</w:t>
      </w:r>
      <w:r>
        <w:rPr>
          <w:rFonts w:eastAsia="Arial" w:cs="Arial"/>
          <w:b w:val="false"/>
          <w:bCs w:val="false"/>
          <w:i w:val="false"/>
          <w:iCs w:val="false"/>
          <w:color w:val="000000"/>
          <w:kern w:val="0"/>
          <w:sz w:val="22"/>
          <w:szCs w:val="22"/>
          <w:lang w:val="en-US" w:eastAsia="zh-CN" w:bidi="hi-IN"/>
        </w:rPr>
        <w:t xml:space="preserve"> Assigning independent variables to broad categories (Appearance, Commonness, Conservation priority, Utilitarian value, General bias) required interpretive decisions, particularly for studies testing composite or ambiguous predictors. While we developed explicit coding criteria (Table 1), some degree of subjective judgment was unavoidable.</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ab/>
        <w:t>A third limitation is that our assessment of publication bias relies primarily on detecting small-study effects. While this is a standard approach, it may not capture all forms of selective reporting. For instance, studies finding null results for taxonomic bias may be less likely to be published at all, regardless of sample size. This "file drawer problem" is difficult to quantify but could mean our estimates still overstate the true magnitude of bias.</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left="0"/>
        <w:jc w:val="both"/>
        <w:rPr>
          <w:color w:val="000000"/>
        </w:rPr>
      </w:pPr>
      <w:r>
        <w:rPr>
          <w:b/>
          <w:bCs/>
          <w:color w:val="000000"/>
        </w:rPr>
        <w:t xml:space="preserve">OUTLOOK: CHANGING THE </w:t>
      </w:r>
      <w:r>
        <w:rPr>
          <w:b/>
          <w:bCs/>
          <w:i/>
          <w:iCs/>
          <w:color w:val="000000"/>
        </w:rPr>
        <w:t>STATUS QUO</w:t>
      </w:r>
    </w:p>
    <w:p>
      <w:pPr>
        <w:pStyle w:val="LO-normal"/>
        <w:spacing w:lineRule="auto" w:line="480" w:before="240" w:after="240"/>
        <w:jc w:val="both"/>
        <w:rPr>
          <w:color w:val="000000"/>
        </w:rPr>
      </w:pPr>
      <w:r>
        <w:rPr>
          <w:color w:val="000000"/>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color w:val="000000"/>
        </w:rPr>
        <w:t>status quo</w:t>
      </w:r>
      <w:r>
        <w:rPr>
          <w:color w:val="000000"/>
        </w:rPr>
        <w:t xml:space="preserve">? </w:t>
      </w:r>
    </w:p>
    <w:p>
      <w:pPr>
        <w:pStyle w:val="LO-normal"/>
        <w:spacing w:lineRule="auto" w:line="480" w:before="240" w:after="240"/>
        <w:ind w:firstLine="720" w:left="0"/>
        <w:jc w:val="both"/>
        <w:rPr/>
      </w:pPr>
      <w:r>
        <w:rPr>
          <w:color w:val="000000"/>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is to redirect focus toward habitats </w:t>
      </w:r>
      <w:hyperlink r:id="rId57">
        <w:r>
          <w:rPr>
            <w:rStyle w:val="Style3"/>
            <w:color w:val="000000"/>
          </w:rPr>
          <w:t xml:space="preserve">(Adamo </w:t>
        </w:r>
      </w:hyperlink>
      <w:hyperlink r:id="rId58">
        <w:r>
          <w:rPr>
            <w:rStyle w:val="Style3"/>
            <w:i/>
            <w:iCs/>
            <w:color w:val="000000"/>
          </w:rPr>
          <w:t>et al.</w:t>
        </w:r>
      </w:hyperlink>
      <w:hyperlink r:id="rId59">
        <w:r>
          <w:rPr>
            <w:rStyle w:val="Style3"/>
            <w:color w:val="000000"/>
          </w:rPr>
          <w:t xml:space="preserve"> 2022; Riva </w:t>
        </w:r>
      </w:hyperlink>
      <w:hyperlink r:id="rId60">
        <w:r>
          <w:rPr>
            <w:rStyle w:val="Style3"/>
            <w:i/>
            <w:iCs/>
            <w:color w:val="000000"/>
          </w:rPr>
          <w:t>et al.</w:t>
        </w:r>
      </w:hyperlink>
      <w:hyperlink r:id="rId61">
        <w:r>
          <w:rPr>
            <w:rStyle w:val="Style3"/>
            <w:color w:val="000000"/>
          </w:rPr>
          <w:t xml:space="preserve"> 2024)</w:t>
        </w:r>
      </w:hyperlink>
      <w:r>
        <w:rPr>
          <w:color w:val="000000"/>
        </w:rPr>
        <w:t xml:space="preserve"> or assemblages of species </w:t>
      </w:r>
      <w:hyperlink r:id="rId62">
        <w:r>
          <w:rPr>
            <w:rStyle w:val="Style3"/>
            <w:color w:val="000000"/>
          </w:rPr>
          <w:t xml:space="preserve">(Belitz </w:t>
        </w:r>
      </w:hyperlink>
      <w:hyperlink r:id="rId63">
        <w:r>
          <w:rPr>
            <w:rStyle w:val="Style3"/>
            <w:i/>
            <w:iCs/>
            <w:color w:val="000000"/>
          </w:rPr>
          <w:t>et al.</w:t>
        </w:r>
      </w:hyperlink>
      <w:hyperlink r:id="rId64">
        <w:r>
          <w:rPr>
            <w:rStyle w:val="Style3"/>
            <w:color w:val="000000"/>
          </w:rPr>
          <w:t xml:space="preserve"> 2025)</w:t>
        </w:r>
      </w:hyperlink>
      <w:r>
        <w:rPr>
          <w:color w:val="000000"/>
        </w:rPr>
        <w:t xml:space="preserve">, rather than individual species. In terms of funding, positive discrimination mechanisms toward neglected taxa/habitats – or dedicated funding schemes – could be adopted </w:t>
      </w:r>
      <w:hyperlink r:id="rId65">
        <w:r>
          <w:rPr>
            <w:rStyle w:val="Style3"/>
            <w:color w:val="000000"/>
          </w:rPr>
          <w:t xml:space="preserve">(Mammola </w:t>
        </w:r>
      </w:hyperlink>
      <w:hyperlink r:id="rId66">
        <w:r>
          <w:rPr>
            <w:rStyle w:val="Style3"/>
            <w:i/>
            <w:iCs/>
            <w:color w:val="000000"/>
          </w:rPr>
          <w:t>et al.</w:t>
        </w:r>
      </w:hyperlink>
      <w:hyperlink r:id="rId67">
        <w:r>
          <w:rPr>
            <w:rStyle w:val="Style3"/>
            <w:color w:val="000000"/>
          </w:rPr>
          <w:t xml:space="preserve"> 2020)</w:t>
        </w:r>
      </w:hyperlink>
      <w:r>
        <w:rPr>
          <w:color w:val="000000"/>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color w:val="000000"/>
          </w:rPr>
          <w:t>(Jaquet 2025)</w:t>
        </w:r>
      </w:hyperlink>
      <w:r>
        <w:rPr>
          <w:color w:val="000000"/>
        </w:rPr>
        <w:t>.</w:t>
      </w:r>
    </w:p>
    <w:p>
      <w:pPr>
        <w:pStyle w:val="LO-normal"/>
        <w:spacing w:lineRule="auto" w:line="480" w:before="240" w:after="240"/>
        <w:ind w:firstLine="720"/>
        <w:jc w:val="both"/>
        <w:rPr/>
      </w:pPr>
      <w:r>
        <w:rPr>
          <w:color w:val="000000"/>
        </w:rPr>
        <w:t xml:space="preserve">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(Figure 4).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color w:val="000000"/>
          </w:rPr>
          <w:t xml:space="preserve">(Bickford </w:t>
        </w:r>
      </w:hyperlink>
      <w:hyperlink r:id="rId70">
        <w:r>
          <w:rPr>
            <w:rStyle w:val="Style3"/>
            <w:i/>
            <w:iCs/>
            <w:color w:val="000000"/>
          </w:rPr>
          <w:t>et al.</w:t>
        </w:r>
      </w:hyperlink>
      <w:hyperlink r:id="rId71">
        <w:r>
          <w:rPr>
            <w:rStyle w:val="Style3"/>
            <w:color w:val="000000"/>
          </w:rPr>
          <w:t xml:space="preserve"> 2012; Meinard &amp; Quétier 2014)</w:t>
        </w:r>
      </w:hyperlink>
      <w:r>
        <w:rPr>
          <w:color w:val="000000"/>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color w:val="000000"/>
        </w:rPr>
      </w:pPr>
      <w:r>
        <w:rPr>
          <w:b/>
          <w:bCs/>
          <w:color w:val="000000"/>
        </w:rPr>
      </w:r>
    </w:p>
    <w:p>
      <w:pPr>
        <w:pStyle w:val="LO-normal"/>
        <w:spacing w:lineRule="auto" w:line="480" w:before="240" w:after="240"/>
        <w:ind w:hanging="0"/>
        <w:jc w:val="both"/>
        <w:rPr>
          <w:color w:val="000000"/>
        </w:rPr>
      </w:pPr>
      <w:r>
        <w:rPr>
          <w:b/>
          <w:bCs/>
          <w:color w:val="000000"/>
        </w:rPr>
        <w:t>Data availability statement</w:t>
      </w:r>
    </w:p>
    <w:p>
      <w:pPr>
        <w:pStyle w:val="LO-normal"/>
        <w:spacing w:lineRule="auto" w:line="480"/>
        <w:jc w:val="both"/>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Data and scripts supporting this study are permanently archived on Figshare (doi: 10.6084/m9.figshare.31095481) and are also available on GitHub to facilitate reproducibility of the analyses (link removed to ensure anonymity). (All links will be activated upon acceptance)</w:t>
      </w:r>
      <w:r>
        <w:br w:type="page"/>
      </w:r>
    </w:p>
    <w:p>
      <w:pPr>
        <w:pStyle w:val="LO-normal"/>
        <w:spacing w:lineRule="auto" w:line="480" w:before="0" w:after="0"/>
        <w:rPr>
          <w:color w:val="000000"/>
        </w:rPr>
      </w:pPr>
      <w:r>
        <w:rPr>
          <w:b/>
          <w:bCs/>
          <w:color w:val="000000"/>
        </w:rPr>
        <w:t>BIBLIOGRAPHY</w:t>
      </w:r>
    </w:p>
    <w:p>
      <w:pPr>
        <w:pStyle w:val="LO-normal"/>
        <w:spacing w:lineRule="auto" w:line="480"/>
        <w:rPr>
          <w:color w:val="000000"/>
        </w:rPr>
      </w:pPr>
      <w:r>
        <w:rPr>
          <w:color w:val="000000"/>
        </w:rPr>
      </w:r>
    </w:p>
    <w:p>
      <w:pPr>
        <w:pStyle w:val="LO-normal"/>
        <w:spacing w:lineRule="auto" w:line="480" w:before="0" w:after="0"/>
        <w:ind w:hanging="0"/>
        <w:jc w:val="both"/>
        <w:rPr/>
      </w:pPr>
      <w:hyperlink r:id="rId72">
        <w:r>
          <w:rPr>
            <w:rStyle w:val="Style3"/>
            <w:color w:val="000000"/>
          </w:rPr>
          <w:t xml:space="preserve">Adamo, M., Sousa, R., Wipf, S., Correia, R.A., Lumia, A., Mucciarelli, M., </w:t>
        </w:r>
      </w:hyperlink>
      <w:hyperlink r:id="rId73">
        <w:r>
          <w:rPr>
            <w:rStyle w:val="Style3"/>
            <w:i/>
            <w:iCs/>
            <w:color w:val="000000"/>
          </w:rPr>
          <w:t>et al.</w:t>
        </w:r>
      </w:hyperlink>
      <w:hyperlink r:id="rId74">
        <w:r>
          <w:rPr>
            <w:rStyle w:val="Style3"/>
            <w:color w:val="000000"/>
          </w:rPr>
          <w:t xml:space="preserve"> (2022). Dimension and impact of biases in funding for species and habitat conservation. </w:t>
        </w:r>
      </w:hyperlink>
      <w:hyperlink r:id="rId75">
        <w:r>
          <w:rPr>
            <w:rStyle w:val="Style3"/>
            <w:i/>
            <w:iCs/>
            <w:color w:val="000000"/>
          </w:rPr>
          <w:t>Biol. Conserv.</w:t>
        </w:r>
      </w:hyperlink>
      <w:hyperlink r:id="rId76">
        <w:r>
          <w:rPr>
            <w:rStyle w:val="Style3"/>
            <w:color w:val="000000"/>
          </w:rPr>
          <w:t xml:space="preserve">, 272, 109636.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77">
        <w:r>
          <w:rPr>
            <w:rStyle w:val="Style3"/>
            <w:color w:val="000000"/>
          </w:rPr>
          <w:t xml:space="preserve">Balding, M. &amp; Williams, K.J. (2016). Plant blindness and the implications for plant conservation. </w:t>
        </w:r>
      </w:hyperlink>
      <w:hyperlink r:id="rId78">
        <w:r>
          <w:rPr>
            <w:rStyle w:val="Style3"/>
            <w:i/>
            <w:iCs/>
            <w:color w:val="000000"/>
          </w:rPr>
          <w:t>Conserv. Biol.</w:t>
        </w:r>
      </w:hyperlink>
      <w:hyperlink r:id="rId79">
        <w:r>
          <w:rPr>
            <w:rStyle w:val="Style3"/>
            <w:color w:val="000000"/>
          </w:rPr>
          <w:t xml:space="preserve">, 30, 1192–1199.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0">
        <w:r>
          <w:rPr>
            <w:rStyle w:val="Style3"/>
            <w:color w:val="000000"/>
          </w:rPr>
          <w:t xml:space="preserve">Barnosky, A. &amp; Hadly, E. (2026). The new Anthropocene biosphere. </w:t>
        </w:r>
      </w:hyperlink>
      <w:hyperlink r:id="rId81">
        <w:r>
          <w:rPr>
            <w:rStyle w:val="Style3"/>
            <w:i/>
            <w:iCs/>
            <w:color w:val="000000"/>
          </w:rPr>
          <w:t>Philos. Trans. R. Soc. Lond. B. Biol. Sci.</w:t>
        </w:r>
      </w:hyperlink>
      <w:hyperlink r:id="rId82">
        <w:r>
          <w:rPr>
            <w:rStyle w:val="Style3"/>
            <w:color w:val="000000"/>
          </w:rPr>
          <w:t xml:space="preserve">, 381, 20240428.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3">
        <w:r>
          <w:rPr>
            <w:rStyle w:val="Style3"/>
            <w:color w:val="000000"/>
          </w:rPr>
          <w:t xml:space="preserve">Belitz, M.W., Campbell, C.J., Drum, R.G., Leuenberger, W., Morelli, T.L., Nail, K., </w:t>
        </w:r>
      </w:hyperlink>
      <w:hyperlink r:id="rId84">
        <w:r>
          <w:rPr>
            <w:rStyle w:val="Style3"/>
            <w:i/>
            <w:iCs/>
            <w:color w:val="000000"/>
          </w:rPr>
          <w:t>et al.</w:t>
        </w:r>
      </w:hyperlink>
      <w:hyperlink r:id="rId85">
        <w:r>
          <w:rPr>
            <w:rStyle w:val="Style3"/>
            <w:color w:val="000000"/>
          </w:rPr>
          <w:t xml:space="preserve"> (2025). A case for assemblage-level conservation to address the biodiversity crisis. </w:t>
        </w:r>
      </w:hyperlink>
      <w:hyperlink r:id="rId86">
        <w:r>
          <w:rPr>
            <w:rStyle w:val="Style3"/>
            <w:i/>
            <w:iCs/>
            <w:color w:val="000000"/>
          </w:rPr>
          <w:t>Nat. Rev. Biodivers.</w:t>
        </w:r>
      </w:hyperlink>
      <w:hyperlink r:id="rId87">
        <w:r>
          <w:rPr>
            <w:rStyle w:val="Style3"/>
            <w:color w:val="000000"/>
          </w:rPr>
          <w:t xml:space="preserve">, 1, 134–143.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8">
        <w:r>
          <w:rPr>
            <w:rStyle w:val="Style3"/>
            <w:color w:val="000000"/>
          </w:rPr>
          <w:t xml:space="preserve">Bickford, D., Posa, M.R.C., Qie, L., Campos-Arceiz, A. &amp; Kudavidanage, E.P. (2012). Science communication for biodiversity conservation. </w:t>
        </w:r>
      </w:hyperlink>
      <w:hyperlink r:id="rId89">
        <w:r>
          <w:rPr>
            <w:rStyle w:val="Style3"/>
            <w:i/>
            <w:iCs/>
            <w:color w:val="000000"/>
          </w:rPr>
          <w:t>Biol. Conserv.</w:t>
        </w:r>
      </w:hyperlink>
      <w:hyperlink r:id="rId90">
        <w:r>
          <w:rPr>
            <w:rStyle w:val="Style3"/>
            <w:color w:val="000000"/>
          </w:rPr>
          <w:t>, 151, 74–76.</w:t>
        </w:r>
      </w:hyperlink>
    </w:p>
    <w:p>
      <w:pPr>
        <w:pStyle w:val="LO-normal"/>
        <w:spacing w:lineRule="auto" w:line="480" w:before="0" w:after="0"/>
        <w:ind w:hanging="0"/>
        <w:jc w:val="both"/>
        <w:rPr/>
      </w:pPr>
      <w:hyperlink r:id="rId91">
        <w:r>
          <w:rPr>
            <w:rStyle w:val="Style3"/>
            <w:color w:val="000000"/>
          </w:rPr>
          <w:t xml:space="preserve"> </w:t>
        </w:r>
      </w:hyperlink>
    </w:p>
    <w:p>
      <w:pPr>
        <w:pStyle w:val="LO-normal"/>
        <w:spacing w:lineRule="auto" w:line="480" w:before="0" w:after="0"/>
        <w:ind w:hanging="0"/>
        <w:jc w:val="both"/>
        <w:rPr/>
      </w:pPr>
      <w:hyperlink r:id="rId92">
        <w:r>
          <w:rPr>
            <w:rStyle w:val="Style3"/>
            <w:color w:val="000000"/>
          </w:rPr>
          <w:t xml:space="preserve">Bonnet, X., Shine, R. &amp; Lourdais, O. (2002). Taxonomic chauvinism. </w:t>
        </w:r>
      </w:hyperlink>
      <w:hyperlink r:id="rId93">
        <w:r>
          <w:rPr>
            <w:rStyle w:val="Style3"/>
            <w:i/>
            <w:iCs/>
            <w:color w:val="000000"/>
          </w:rPr>
          <w:t>Trends Ecol. Evol.</w:t>
        </w:r>
      </w:hyperlink>
      <w:hyperlink r:id="rId94">
        <w:r>
          <w:rPr>
            <w:rStyle w:val="Style3"/>
            <w:color w:val="000000"/>
          </w:rPr>
          <w:t xml:space="preserve">, 17, 1–3.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5">
        <w:r>
          <w:rPr>
            <w:rStyle w:val="Style3"/>
            <w:color w:val="000000"/>
          </w:rPr>
          <w:t xml:space="preserve">Clark, J.A. &amp; May, R.M. (2002). Taxonomic bias in conservation research. </w:t>
        </w:r>
      </w:hyperlink>
      <w:hyperlink r:id="rId96">
        <w:r>
          <w:rPr>
            <w:rStyle w:val="Style3"/>
            <w:i/>
            <w:iCs/>
            <w:color w:val="000000"/>
          </w:rPr>
          <w:t>Science</w:t>
        </w:r>
      </w:hyperlink>
      <w:hyperlink r:id="rId97">
        <w:r>
          <w:rPr>
            <w:rStyle w:val="Style3"/>
            <w:color w:val="000000"/>
          </w:rPr>
          <w:t xml:space="preserve">, 297, 191–192. </w:t>
        </w:r>
      </w:hyperlink>
    </w:p>
    <w:p>
      <w:pPr>
        <w:pStyle w:val="LO-normal"/>
        <w:spacing w:lineRule="auto" w:line="480" w:before="0" w:after="0"/>
        <w:ind w:hanging="0"/>
        <w:jc w:val="both"/>
        <w:rPr>
          <w:color w:val="000000"/>
        </w:rPr>
      </w:pPr>
      <w:r>
        <w:rPr>
          <w:color w:val="000000"/>
        </w:rPr>
      </w:r>
    </w:p>
    <w:p>
      <w:pPr>
        <w:pStyle w:val="LO-normal"/>
        <w:spacing w:lineRule="auto" w:line="480"/>
        <w:ind w:hanging="0"/>
        <w:jc w:val="both"/>
        <w:rPr>
          <w:color w:val="000000"/>
        </w:rPr>
      </w:pPr>
      <w:r>
        <w:rPr>
          <w:color w:val="000000"/>
        </w:rPr>
        <w:t xml:space="preserve">Cohen, J. (1960). A coefficient of agreement for nominal scales. </w:t>
      </w:r>
      <w:r>
        <w:rPr>
          <w:i/>
          <w:iCs/>
          <w:color w:val="000000"/>
        </w:rPr>
        <w:t>Educ. Psychol. Meas.</w:t>
      </w:r>
      <w:r>
        <w:rPr>
          <w:color w:val="000000"/>
        </w:rPr>
        <w:t>, 20(1), 37–46.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8">
        <w:r>
          <w:rPr>
            <w:rStyle w:val="Style3"/>
            <w:color w:val="000000"/>
          </w:rPr>
          <w:t xml:space="preserve">Cowie, R.H., Bouchet, P. &amp; Fontaine, B. (2022). The Sixth Mass Extinction: fact, fiction or speculation? </w:t>
        </w:r>
      </w:hyperlink>
      <w:hyperlink r:id="rId99">
        <w:r>
          <w:rPr>
            <w:rStyle w:val="Style3"/>
            <w:i/>
            <w:iCs/>
            <w:color w:val="000000"/>
          </w:rPr>
          <w:t>Biol. Rev.</w:t>
        </w:r>
      </w:hyperlink>
      <w:hyperlink r:id="rId100">
        <w:r>
          <w:rPr>
            <w:rStyle w:val="Style3"/>
            <w:color w:val="000000"/>
          </w:rPr>
          <w:t xml:space="preserve">, 97, 640–663.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000000"/>
        </w:rPr>
      </w:pPr>
      <w:r>
        <w:rPr>
          <w:color w:val="000000"/>
        </w:rPr>
        <w:t xml:space="preserve">Cowie, R.H., Bouchet, P. &amp; Fontaine, B. (2025). Denying that we may be experiencing the start of the Sixth Mass Extinction paves the way for it to happen. Trends Ecol. Evol., 40, 722–23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1">
        <w:r>
          <w:rPr>
            <w:rStyle w:val="Style3"/>
            <w:color w:val="000000"/>
          </w:rPr>
          <w:t xml:space="preserve">Egger, M., Davey Smith, G., Schneider, M. &amp; Minder, C. (1997). Bias in meta-analysis detected by a simple, graphical test. </w:t>
        </w:r>
      </w:hyperlink>
      <w:hyperlink r:id="rId102">
        <w:r>
          <w:rPr>
            <w:rStyle w:val="Style3"/>
            <w:i/>
            <w:iCs/>
            <w:color w:val="000000"/>
          </w:rPr>
          <w:t>BMJ</w:t>
        </w:r>
      </w:hyperlink>
      <w:hyperlink r:id="rId103">
        <w:r>
          <w:rPr>
            <w:rStyle w:val="Style3"/>
            <w:color w:val="000000"/>
          </w:rPr>
          <w:t xml:space="preserve">, 315, 629–634.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4">
        <w:r>
          <w:rPr>
            <w:rStyle w:val="Style3"/>
            <w:color w:val="000000"/>
          </w:rPr>
          <w:t xml:space="preserve">Ellison, A. (2016). It’s time to get real about conservation. </w:t>
        </w:r>
      </w:hyperlink>
      <w:hyperlink r:id="rId105">
        <w:r>
          <w:rPr>
            <w:rStyle w:val="Style3"/>
            <w:i/>
            <w:iCs/>
            <w:color w:val="000000"/>
          </w:rPr>
          <w:t>Nature</w:t>
        </w:r>
      </w:hyperlink>
      <w:hyperlink r:id="rId106">
        <w:r>
          <w:rPr>
            <w:rStyle w:val="Style3"/>
            <w:color w:val="000000"/>
          </w:rPr>
          <w:t xml:space="preserve">, 538, 141.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7">
        <w:r>
          <w:rPr>
            <w:rStyle w:val="Style3"/>
            <w:color w:val="000000"/>
          </w:rPr>
          <w:t xml:space="preserve">Frynta, D., Simkova, O., Liskova, S. &amp; Landova, E. (2013). Mammalian collection on Noah’s ark: the effects of beauty, brain and body size. </w:t>
        </w:r>
      </w:hyperlink>
      <w:hyperlink r:id="rId108">
        <w:r>
          <w:rPr>
            <w:rStyle w:val="Style3"/>
            <w:i/>
            <w:iCs/>
            <w:color w:val="000000"/>
          </w:rPr>
          <w:t>PLOS ONE</w:t>
        </w:r>
      </w:hyperlink>
      <w:hyperlink r:id="rId109">
        <w:r>
          <w:rPr>
            <w:rStyle w:val="Style3"/>
            <w:color w:val="000000"/>
          </w:rPr>
          <w:t xml:space="preserve">, 8, e63110.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0">
        <w:r>
          <w:rPr>
            <w:rStyle w:val="Style3"/>
            <w:color w:val="000000"/>
          </w:rPr>
          <w:t xml:space="preserve">Goncalves, S.C., Haelewaters, D., Furci, G. &amp; Mueller, G.M. (2021). Include all fungi in biodiversity goals. </w:t>
        </w:r>
      </w:hyperlink>
      <w:hyperlink r:id="rId111">
        <w:r>
          <w:rPr>
            <w:rStyle w:val="Style3"/>
            <w:i/>
            <w:iCs/>
            <w:color w:val="000000"/>
          </w:rPr>
          <w:t>Science</w:t>
        </w:r>
      </w:hyperlink>
      <w:hyperlink r:id="rId112">
        <w:r>
          <w:rPr>
            <w:rStyle w:val="Style3"/>
            <w:color w:val="000000"/>
          </w:rPr>
          <w:t xml:space="preserve">, 373, 403.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3">
        <w:r>
          <w:rPr>
            <w:rStyle w:val="Style3"/>
            <w:color w:val="000000"/>
          </w:rPr>
          <w:t xml:space="preserve">Guenard, B., Hughes, A.C., Laine, C., Cannicci, S., Russell, B.D. &amp; Williams, G.A. (2025). Limited and biased global conservation funding means most threatened species remain unsupported. </w:t>
        </w:r>
      </w:hyperlink>
      <w:hyperlink r:id="rId114">
        <w:r>
          <w:rPr>
            <w:rStyle w:val="Style3"/>
            <w:i/>
            <w:iCs/>
            <w:color w:val="000000"/>
          </w:rPr>
          <w:t>Proc. Natl. Acad. Sci.</w:t>
        </w:r>
      </w:hyperlink>
      <w:hyperlink r:id="rId115">
        <w:r>
          <w:rPr>
            <w:rStyle w:val="Style3"/>
            <w:color w:val="000000"/>
          </w:rPr>
          <w:t xml:space="preserve">, 122, e2412479122.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6">
        <w:r>
          <w:rPr>
            <w:rStyle w:val="Style3"/>
            <w:color w:val="000000"/>
          </w:rPr>
          <w:t xml:space="preserve">Jaquet, F. (2025). How to Define Speciesism. </w:t>
        </w:r>
      </w:hyperlink>
      <w:hyperlink r:id="rId117">
        <w:r>
          <w:rPr>
            <w:rStyle w:val="Style3"/>
            <w:i/>
            <w:iCs/>
            <w:color w:val="000000"/>
          </w:rPr>
          <w:t>J. Ethics</w:t>
        </w:r>
      </w:hyperlink>
      <w:hyperlink r:id="rId118">
        <w:r>
          <w:rPr>
            <w:rStyle w:val="Style3"/>
            <w:color w:val="000000"/>
          </w:rPr>
          <w:t xml:space="preserve">, 29, 477–496.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9">
        <w:r>
          <w:rPr>
            <w:rStyle w:val="Style3"/>
            <w:color w:val="000000"/>
          </w:rPr>
          <w:t xml:space="preserve">Jarić, I., Roll, U., Bonaiuto, M., Brook, B.W., Courchamp, F., Firth, J.A., </w:t>
        </w:r>
      </w:hyperlink>
      <w:hyperlink r:id="rId120">
        <w:r>
          <w:rPr>
            <w:rStyle w:val="Style3"/>
            <w:i/>
            <w:iCs/>
            <w:color w:val="000000"/>
          </w:rPr>
          <w:t>et al.</w:t>
        </w:r>
      </w:hyperlink>
      <w:hyperlink r:id="rId121">
        <w:r>
          <w:rPr>
            <w:rStyle w:val="Style3"/>
            <w:color w:val="000000"/>
          </w:rPr>
          <w:t xml:space="preserve"> (2022). Societal extinction of species. </w:t>
        </w:r>
      </w:hyperlink>
      <w:hyperlink r:id="rId122">
        <w:r>
          <w:rPr>
            <w:rStyle w:val="Style3"/>
            <w:i/>
            <w:iCs/>
            <w:color w:val="000000"/>
          </w:rPr>
          <w:t>Trends Ecol. Evol.</w:t>
        </w:r>
      </w:hyperlink>
      <w:hyperlink r:id="rId123">
        <w:r>
          <w:rPr>
            <w:rStyle w:val="Style3"/>
            <w:color w:val="000000"/>
          </w:rPr>
          <w:t xml:space="preserve">, 37, 411–419.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4">
        <w:r>
          <w:rPr>
            <w:rStyle w:val="Style3"/>
            <w:color w:val="000000"/>
          </w:rPr>
          <w:t xml:space="preserve">Jensen, P.A. (2025). Ten species comprise half of the bacteriology literature, leaving most species unstudied. </w:t>
        </w:r>
      </w:hyperlink>
      <w:hyperlink r:id="rId125">
        <w:r>
          <w:rPr>
            <w:rStyle w:val="Style3"/>
            <w:i/>
            <w:iCs/>
            <w:color w:val="000000"/>
          </w:rPr>
          <w:t>bioRxiv</w:t>
        </w:r>
      </w:hyperlink>
      <w:hyperlink r:id="rId126">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7">
        <w:r>
          <w:rPr>
            <w:rStyle w:val="Style3"/>
            <w:color w:val="000000"/>
          </w:rPr>
          <w:t xml:space="preserve">Keck, F., Peller, T., Alther, R., Barouillet, C., Blackman, R., Capo, E., </w:t>
        </w:r>
      </w:hyperlink>
      <w:hyperlink r:id="rId128">
        <w:r>
          <w:rPr>
            <w:rStyle w:val="Style3"/>
            <w:i/>
            <w:iCs/>
            <w:color w:val="000000"/>
          </w:rPr>
          <w:t>et al.</w:t>
        </w:r>
      </w:hyperlink>
      <w:hyperlink r:id="rId129">
        <w:r>
          <w:rPr>
            <w:rStyle w:val="Style3"/>
            <w:color w:val="000000"/>
          </w:rPr>
          <w:t xml:space="preserve"> (2025). The global human impact on biodiversity. </w:t>
        </w:r>
      </w:hyperlink>
      <w:hyperlink r:id="rId130">
        <w:r>
          <w:rPr>
            <w:rStyle w:val="Style3"/>
            <w:i/>
            <w:iCs/>
            <w:color w:val="000000"/>
          </w:rPr>
          <w:t>Nature</w:t>
        </w:r>
      </w:hyperlink>
      <w:hyperlink r:id="rId131">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2">
        <w:r>
          <w:rPr>
            <w:rStyle w:val="Style3"/>
            <w:color w:val="000000"/>
          </w:rPr>
          <w:t xml:space="preserve">Leather, S.R. (2013). Institutional vertebratism hampers insect conservation generally; not just saproxylic beetle conservation. </w:t>
        </w:r>
      </w:hyperlink>
      <w:hyperlink r:id="rId133">
        <w:r>
          <w:rPr>
            <w:rStyle w:val="Style3"/>
            <w:i/>
            <w:iCs/>
            <w:color w:val="000000"/>
          </w:rPr>
          <w:t>Anim. Conserv.</w:t>
        </w:r>
      </w:hyperlink>
      <w:hyperlink r:id="rId134">
        <w:r>
          <w:rPr>
            <w:rStyle w:val="Style3"/>
            <w:color w:val="000000"/>
          </w:rPr>
          <w:t xml:space="preserve">, 16, 379–380.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5">
        <w:r>
          <w:rPr>
            <w:rStyle w:val="Style3"/>
            <w:color w:val="000000"/>
          </w:rPr>
          <w:t xml:space="preserve">Mammola, S., Adamo, M., Antić, D., Calevo, J., Cancellario, T., Cardoso, P., </w:t>
        </w:r>
      </w:hyperlink>
      <w:hyperlink r:id="rId136">
        <w:r>
          <w:rPr>
            <w:rStyle w:val="Style3"/>
            <w:i/>
            <w:iCs/>
            <w:color w:val="000000"/>
          </w:rPr>
          <w:t>et al.</w:t>
        </w:r>
      </w:hyperlink>
      <w:hyperlink r:id="rId137">
        <w:r>
          <w:rPr>
            <w:rStyle w:val="Style3"/>
            <w:color w:val="000000"/>
          </w:rPr>
          <w:t xml:space="preserve"> (2023a). Drivers of species knowledge across the tree of life. </w:t>
        </w:r>
      </w:hyperlink>
      <w:hyperlink r:id="rId138">
        <w:r>
          <w:rPr>
            <w:rStyle w:val="Style3"/>
            <w:i/>
            <w:iCs/>
            <w:color w:val="000000"/>
          </w:rPr>
          <w:t>eLife</w:t>
        </w:r>
      </w:hyperlink>
      <w:hyperlink r:id="rId139">
        <w:r>
          <w:rPr>
            <w:rStyle w:val="Style3"/>
            <w:color w:val="000000"/>
          </w:rPr>
          <w:t xml:space="preserve">, 12, RP88251.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0">
        <w:r>
          <w:rPr>
            <w:rStyle w:val="Style3"/>
            <w:color w:val="000000"/>
          </w:rPr>
          <w:t xml:space="preserve">Mammola, S., Fukushima, C.S., Biondo, G., Bongiorni, L., Cianferoni, F., Domenici, P., </w:t>
        </w:r>
      </w:hyperlink>
      <w:hyperlink r:id="rId141">
        <w:r>
          <w:rPr>
            <w:rStyle w:val="Style3"/>
            <w:i/>
            <w:iCs/>
            <w:color w:val="000000"/>
          </w:rPr>
          <w:t>et al.</w:t>
        </w:r>
      </w:hyperlink>
      <w:hyperlink r:id="rId142">
        <w:r>
          <w:rPr>
            <w:rStyle w:val="Style3"/>
            <w:color w:val="000000"/>
          </w:rPr>
          <w:t xml:space="preserve"> (2023b). How much biodiversity is concealed in the word ‘biodiversity’? </w:t>
        </w:r>
      </w:hyperlink>
      <w:hyperlink r:id="rId143">
        <w:r>
          <w:rPr>
            <w:rStyle w:val="Style3"/>
            <w:i/>
            <w:iCs/>
            <w:color w:val="000000"/>
          </w:rPr>
          <w:t>Curr. Biol.</w:t>
        </w:r>
      </w:hyperlink>
      <w:hyperlink r:id="rId144">
        <w:r>
          <w:rPr>
            <w:rStyle w:val="Style3"/>
            <w:color w:val="000000"/>
          </w:rPr>
          <w:t xml:space="preserve">, 33, R59–R60.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5">
        <w:r>
          <w:rPr>
            <w:rStyle w:val="Style3"/>
            <w:color w:val="000000"/>
          </w:rPr>
          <w:t xml:space="preserve">Mammola, S., Riccardi, N., Prié, V., Correia, R., Cardoso, P., Lopes-Lima, M., </w:t>
        </w:r>
      </w:hyperlink>
      <w:hyperlink r:id="rId146">
        <w:r>
          <w:rPr>
            <w:rStyle w:val="Style3"/>
            <w:i/>
            <w:iCs/>
            <w:color w:val="000000"/>
          </w:rPr>
          <w:t>et al.</w:t>
        </w:r>
      </w:hyperlink>
      <w:hyperlink r:id="rId147">
        <w:r>
          <w:rPr>
            <w:rStyle w:val="Style3"/>
            <w:color w:val="000000"/>
          </w:rPr>
          <w:t xml:space="preserve"> (2020). Towards a taxonomically unbiased European Union biodiversity strategy for 2030. </w:t>
        </w:r>
      </w:hyperlink>
      <w:hyperlink r:id="rId148">
        <w:r>
          <w:rPr>
            <w:rStyle w:val="Style3"/>
            <w:i/>
            <w:iCs/>
            <w:color w:val="000000"/>
          </w:rPr>
          <w:t>Proc. R. Soc. B Biol. Sci.</w:t>
        </w:r>
      </w:hyperlink>
      <w:hyperlink r:id="rId149">
        <w:r>
          <w:rPr>
            <w:rStyle w:val="Style3"/>
            <w:color w:val="000000"/>
          </w:rPr>
          <w:t xml:space="preserve">, 287, 20202166.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0">
        <w:r>
          <w:rPr>
            <w:rStyle w:val="Style3"/>
            <w:color w:val="000000"/>
          </w:rPr>
          <w:t xml:space="preserve">Meinard, Y. &amp; Quétier, F. (2014). Experiencing Biodiversity as a Bridge over the Science–Society Communication Gap. </w:t>
        </w:r>
      </w:hyperlink>
      <w:hyperlink r:id="rId151">
        <w:r>
          <w:rPr>
            <w:rStyle w:val="Style3"/>
            <w:i/>
            <w:iCs/>
            <w:color w:val="000000"/>
          </w:rPr>
          <w:t>Conserv. Biol.</w:t>
        </w:r>
      </w:hyperlink>
      <w:hyperlink r:id="rId152">
        <w:r>
          <w:rPr>
            <w:rStyle w:val="Style3"/>
            <w:color w:val="000000"/>
          </w:rPr>
          <w:t xml:space="preserve">, 28, 705–712.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000000"/>
        </w:rPr>
      </w:pPr>
      <w:r>
        <w:rPr>
          <w:color w:val="000000"/>
        </w:rPr>
        <w:t>Metrick, A. &amp; Weitzman, M.L. (1996). Patterns of behavior in endangered species preservation. </w:t>
      </w:r>
      <w:r>
        <w:rPr>
          <w:i/>
          <w:iCs/>
          <w:color w:val="000000"/>
        </w:rPr>
        <w:t>Land Econ.</w:t>
      </w:r>
      <w:r>
        <w:rPr>
          <w:color w:val="000000"/>
        </w:rPr>
        <w:t>, 72(1), 1–16.</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3">
        <w:r>
          <w:rPr>
            <w:rStyle w:val="Style3"/>
            <w:color w:val="000000"/>
          </w:rPr>
          <w:t xml:space="preserve">Moher, D., Liberati, A., Tetzlaff, J., Altman, D.G. &amp; Group, P. (2009). Preferred reporting items for systematic reviews and meta-analyses: the PRISMA statement. </w:t>
        </w:r>
      </w:hyperlink>
      <w:hyperlink r:id="rId154">
        <w:r>
          <w:rPr>
            <w:rStyle w:val="Style3"/>
            <w:i/>
            <w:iCs/>
            <w:color w:val="000000"/>
          </w:rPr>
          <w:t>BMJ</w:t>
        </w:r>
      </w:hyperlink>
      <w:hyperlink r:id="rId155">
        <w:r>
          <w:rPr>
            <w:rStyle w:val="Style3"/>
            <w:color w:val="000000"/>
          </w:rPr>
          <w:t xml:space="preserve">, 339, b2535.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000000"/>
        </w:rPr>
      </w:pPr>
      <w:r>
        <w:rPr>
          <w:color w:val="000000"/>
        </w:rPr>
        <w:t xml:space="preserve">Moyle, B. (1998). Species conservation and the principal–agent problem. </w:t>
      </w:r>
      <w:r>
        <w:rPr>
          <w:i/>
          <w:iCs/>
          <w:color w:val="000000"/>
        </w:rPr>
        <w:t>Ecol. Econ.</w:t>
      </w:r>
      <w:r>
        <w:rPr>
          <w:color w:val="000000"/>
        </w:rPr>
        <w:t>, 26(3), 313–320.</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6">
        <w:r>
          <w:rPr>
            <w:rStyle w:val="Style3"/>
            <w:color w:val="000000"/>
          </w:rPr>
          <w:t xml:space="preserve">Negron-Ortiz, V. (2014). Pattern of expenditures for plant conservation under the endangered species act. </w:t>
        </w:r>
      </w:hyperlink>
      <w:hyperlink r:id="rId157">
        <w:r>
          <w:rPr>
            <w:rStyle w:val="Style3"/>
            <w:i/>
            <w:iCs/>
            <w:color w:val="000000"/>
          </w:rPr>
          <w:t>Biol. Conserv.</w:t>
        </w:r>
      </w:hyperlink>
      <w:hyperlink r:id="rId158">
        <w:r>
          <w:rPr>
            <w:rStyle w:val="Style3"/>
            <w:color w:val="000000"/>
          </w:rPr>
          <w:t xml:space="preserve">, 171, 36–43.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9">
        <w:r>
          <w:rPr>
            <w:rStyle w:val="Style3"/>
            <w:color w:val="000000"/>
          </w:rPr>
          <w:t xml:space="preserve">Page, M.J., McKenzie, J.E., Bossuyt, P.M., Boutron, I., Hoffmann, T.C., Mulrow, C.D., </w:t>
        </w:r>
      </w:hyperlink>
      <w:hyperlink r:id="rId160">
        <w:r>
          <w:rPr>
            <w:rStyle w:val="Style3"/>
            <w:i/>
            <w:iCs/>
            <w:color w:val="000000"/>
          </w:rPr>
          <w:t>et al.</w:t>
        </w:r>
      </w:hyperlink>
      <w:hyperlink r:id="rId161">
        <w:r>
          <w:rPr>
            <w:rStyle w:val="Style3"/>
            <w:color w:val="000000"/>
          </w:rPr>
          <w:t xml:space="preserve"> (2021). The PRISMA 2020 statement: an updated guideline for reporting systematic reviews. </w:t>
        </w:r>
      </w:hyperlink>
      <w:hyperlink r:id="rId162">
        <w:r>
          <w:rPr>
            <w:rStyle w:val="Style3"/>
            <w:i/>
            <w:iCs/>
            <w:color w:val="000000"/>
          </w:rPr>
          <w:t>BMJ</w:t>
        </w:r>
      </w:hyperlink>
      <w:hyperlink r:id="rId163">
        <w:r>
          <w:rPr>
            <w:rStyle w:val="Style3"/>
            <w:color w:val="000000"/>
          </w:rPr>
          <w:t xml:space="preserve">, 372, n71.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000000"/>
        </w:rPr>
      </w:pPr>
      <w:r>
        <w:rPr>
          <w:color w:val="000000"/>
        </w:rPr>
        <w:t xml:space="preserve">Pollo, P. &amp; Kasumovic M.M. (2026). Taxonomic bias: a persistent issue in ecology and evolution. </w:t>
      </w:r>
      <w:r>
        <w:rPr>
          <w:i/>
          <w:iCs/>
          <w:color w:val="000000"/>
        </w:rPr>
        <w:t>EcoEvoRxiv</w:t>
      </w:r>
      <w:r>
        <w:rPr>
          <w:i w:val="false"/>
          <w:iCs w:val="false"/>
          <w:color w:val="000000"/>
        </w:rPr>
        <w:t>, https://doi.org/10.32942/X2B094</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4">
        <w:r>
          <w:rPr>
            <w:rStyle w:val="Style3"/>
            <w:color w:val="000000"/>
          </w:rPr>
          <w:t xml:space="preserve">R Core Team. (2024). </w:t>
        </w:r>
      </w:hyperlink>
      <w:hyperlink r:id="rId165">
        <w:r>
          <w:rPr>
            <w:rStyle w:val="Style3"/>
            <w:i/>
            <w:iCs/>
            <w:color w:val="000000"/>
          </w:rPr>
          <w:t>R: A Language and Environment for Statistical Computing</w:t>
        </w:r>
      </w:hyperlink>
      <w:hyperlink r:id="rId166">
        <w:r>
          <w:rPr>
            <w:rStyle w:val="Style3"/>
            <w:color w:val="000000"/>
          </w:rPr>
          <w:t xml:space="preserve">. R Foundation for Statistical Computing, Vienna, Austria.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r>
        <w:rPr>
          <w:color w:val="000000"/>
        </w:rPr>
        <w:t>Régnier</w:t>
      </w:r>
      <w:hyperlink r:id="rId167">
        <w:r>
          <w:rPr>
            <w:rStyle w:val="Style3"/>
            <w:color w:val="000000"/>
          </w:rPr>
          <w:t xml:space="preserve">, C., Achaz, G., Lambert, A., Cowie, R.H., Bouchet, P. &amp; Fontaine, B. (2015). Mass extinction in poorly known taxa. </w:t>
        </w:r>
      </w:hyperlink>
      <w:hyperlink r:id="rId168">
        <w:r>
          <w:rPr>
            <w:rStyle w:val="Style3"/>
            <w:i/>
            <w:iCs/>
            <w:color w:val="000000"/>
          </w:rPr>
          <w:t>Proc. Natl. Acad. Sci.</w:t>
        </w:r>
      </w:hyperlink>
      <w:hyperlink r:id="rId169">
        <w:r>
          <w:rPr>
            <w:rStyle w:val="Style3"/>
            <w:color w:val="000000"/>
          </w:rPr>
          <w:t xml:space="preserve">, 112, 7761–7766.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0">
        <w:r>
          <w:rPr>
            <w:rStyle w:val="Style3"/>
            <w:color w:val="000000"/>
          </w:rPr>
          <w:t xml:space="preserve">Riva, F., Haddad, N., Fahrig, L. &amp; Banks‐Leite, C. (2024). Principles for area‐based biodiversity conservation. </w:t>
        </w:r>
      </w:hyperlink>
      <w:hyperlink r:id="rId171">
        <w:r>
          <w:rPr>
            <w:rStyle w:val="Style3"/>
            <w:i/>
            <w:iCs/>
            <w:color w:val="000000"/>
          </w:rPr>
          <w:t>Ecol. Lett.</w:t>
        </w:r>
      </w:hyperlink>
      <w:hyperlink r:id="rId172">
        <w:r>
          <w:rPr>
            <w:rStyle w:val="Style3"/>
            <w:color w:val="000000"/>
          </w:rPr>
          <w:t xml:space="preserve">, 27, e14459.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3">
        <w:r>
          <w:rPr>
            <w:rStyle w:val="Style3"/>
            <w:color w:val="000000"/>
          </w:rPr>
          <w:t xml:space="preserve">Rosenberg, M.S., Rothstein, H.R. &amp; Gurevitch, J. (2013). Effect sizes: Conventional choices and calculations. In: </w:t>
        </w:r>
      </w:hyperlink>
      <w:hyperlink r:id="rId174">
        <w:r>
          <w:rPr>
            <w:rStyle w:val="Style3"/>
            <w:i/>
            <w:iCs/>
            <w:color w:val="000000"/>
          </w:rPr>
          <w:t>Handbook of meta-analysis in ecology and evolution</w:t>
        </w:r>
      </w:hyperlink>
      <w:hyperlink r:id="rId175">
        <w:r>
          <w:rPr>
            <w:rStyle w:val="Style3"/>
            <w:color w:val="000000"/>
          </w:rPr>
          <w:t xml:space="preserve"> (eds. Koricheva, J., Gurevitch, J. &amp; Mengersen, K.). Princeton University Press, pp. 61–71.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6">
        <w:r>
          <w:rPr>
            <w:rStyle w:val="Style3"/>
            <w:color w:val="000000"/>
          </w:rPr>
          <w:t xml:space="preserve">Santangeli, A., Haukka, A., Morris, W.K., Arkkila, S.E.M., Delhey, K., Kempenaers, B., </w:t>
        </w:r>
      </w:hyperlink>
      <w:hyperlink r:id="rId177">
        <w:r>
          <w:rPr>
            <w:rStyle w:val="Style3"/>
            <w:i/>
            <w:iCs/>
            <w:color w:val="000000"/>
          </w:rPr>
          <w:t>et al.</w:t>
        </w:r>
      </w:hyperlink>
      <w:hyperlink r:id="rId178">
        <w:r>
          <w:rPr>
            <w:rStyle w:val="Style3"/>
            <w:color w:val="000000"/>
          </w:rPr>
          <w:t xml:space="preserve"> (2023). What drives our aesthetic attraction to birds? </w:t>
        </w:r>
      </w:hyperlink>
      <w:hyperlink r:id="rId179">
        <w:r>
          <w:rPr>
            <w:rStyle w:val="Style3"/>
            <w:i/>
            <w:iCs/>
            <w:color w:val="000000"/>
          </w:rPr>
          <w:t>Npj Biodivers.</w:t>
        </w:r>
      </w:hyperlink>
      <w:hyperlink r:id="rId180">
        <w:r>
          <w:rPr>
            <w:rStyle w:val="Style3"/>
            <w:color w:val="000000"/>
          </w:rPr>
          <w:t xml:space="preserve">, 2, 20.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1">
        <w:r>
          <w:rPr>
            <w:rStyle w:val="Style3"/>
            <w:color w:val="000000"/>
          </w:rPr>
          <w:t xml:space="preserve">dos Santos, J.W., Correia, R.A., Malhado, A.C.M., Campos‐Silva, J.V., Teles, D., Jepson, P., </w:t>
        </w:r>
      </w:hyperlink>
      <w:hyperlink r:id="rId182">
        <w:r>
          <w:rPr>
            <w:rStyle w:val="Style3"/>
            <w:i/>
            <w:iCs/>
            <w:color w:val="000000"/>
          </w:rPr>
          <w:t>et al.</w:t>
        </w:r>
      </w:hyperlink>
      <w:hyperlink r:id="rId183">
        <w:r>
          <w:rPr>
            <w:rStyle w:val="Style3"/>
            <w:color w:val="000000"/>
          </w:rPr>
          <w:t xml:space="preserve"> (2020). Drivers of taxonomic bias in conservation research: a global analysis of terrestrial mammals. </w:t>
        </w:r>
      </w:hyperlink>
      <w:hyperlink r:id="rId184">
        <w:r>
          <w:rPr>
            <w:rStyle w:val="Style3"/>
            <w:i/>
            <w:iCs/>
            <w:color w:val="000000"/>
          </w:rPr>
          <w:t>Anim. Conserv.</w:t>
        </w:r>
      </w:hyperlink>
      <w:hyperlink r:id="rId185">
        <w:r>
          <w:rPr>
            <w:rStyle w:val="Style3"/>
            <w:color w:val="000000"/>
          </w:rPr>
          <w:t xml:space="preserve">, 23, 679–688.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6">
        <w:r>
          <w:rPr>
            <w:rStyle w:val="Style3"/>
            <w:color w:val="000000"/>
          </w:rPr>
          <w:t xml:space="preserve">Shaw, R.E., Farquharson, K.A., Bruford, M.W., Coates, D.J., Elliott, C.P., Mergeay, J., </w:t>
        </w:r>
      </w:hyperlink>
      <w:hyperlink r:id="rId187">
        <w:r>
          <w:rPr>
            <w:rStyle w:val="Style3"/>
            <w:i/>
            <w:iCs/>
            <w:color w:val="000000"/>
          </w:rPr>
          <w:t>et al.</w:t>
        </w:r>
      </w:hyperlink>
      <w:hyperlink r:id="rId188">
        <w:r>
          <w:rPr>
            <w:rStyle w:val="Style3"/>
            <w:color w:val="000000"/>
          </w:rPr>
          <w:t xml:space="preserve"> (2025). Global meta-analysis shows action is needed to halt genetic diversity loss. </w:t>
        </w:r>
      </w:hyperlink>
      <w:hyperlink r:id="rId189">
        <w:r>
          <w:rPr>
            <w:rStyle w:val="Style3"/>
            <w:i/>
            <w:iCs/>
            <w:color w:val="000000"/>
          </w:rPr>
          <w:t>Nature</w:t>
        </w:r>
      </w:hyperlink>
      <w:hyperlink r:id="rId190">
        <w:r>
          <w:rPr>
            <w:rStyle w:val="Style3"/>
            <w:color w:val="000000"/>
          </w:rPr>
          <w:t xml:space="preserve">, 638, 704–710.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1">
        <w:r>
          <w:rPr>
            <w:rStyle w:val="Style3"/>
            <w:color w:val="000000"/>
          </w:rPr>
          <w:t xml:space="preserve">Soga, M. &amp; Gaston, K.J. (2016). Extinction of experience: the loss of human–nature interactions. </w:t>
        </w:r>
      </w:hyperlink>
      <w:hyperlink r:id="rId192">
        <w:r>
          <w:rPr>
            <w:rStyle w:val="Style3"/>
            <w:i/>
            <w:iCs/>
            <w:color w:val="000000"/>
          </w:rPr>
          <w:t>Front. Ecol. Environ.</w:t>
        </w:r>
      </w:hyperlink>
      <w:hyperlink r:id="rId193">
        <w:r>
          <w:rPr>
            <w:rStyle w:val="Style3"/>
            <w:color w:val="000000"/>
          </w:rPr>
          <w:t xml:space="preserve">, 14, 94–101.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4">
        <w:r>
          <w:rPr>
            <w:rStyle w:val="Style3"/>
            <w:color w:val="000000"/>
          </w:rPr>
          <w:t xml:space="preserve">Soga, M. &amp; Gaston, K.J. (2018). Shifting baseline syndrome: causes, consequences, and implications. </w:t>
        </w:r>
      </w:hyperlink>
      <w:hyperlink r:id="rId195">
        <w:r>
          <w:rPr>
            <w:rStyle w:val="Style3"/>
            <w:i/>
            <w:iCs/>
            <w:color w:val="000000"/>
          </w:rPr>
          <w:t>Front. Ecol. Environ.</w:t>
        </w:r>
      </w:hyperlink>
      <w:hyperlink r:id="rId196">
        <w:r>
          <w:rPr>
            <w:rStyle w:val="Style3"/>
            <w:color w:val="000000"/>
          </w:rPr>
          <w:t xml:space="preserve">, 16, 222–230.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7">
        <w:r>
          <w:rPr>
            <w:rStyle w:val="Style3"/>
            <w:color w:val="000000"/>
          </w:rPr>
          <w:t xml:space="preserve">Sterne, J.A.C., Sutton, A.J., Ioannidis, J.P.A., Terrin, N., Jones, D.R., Lau, J., </w:t>
        </w:r>
      </w:hyperlink>
      <w:hyperlink r:id="rId198">
        <w:r>
          <w:rPr>
            <w:rStyle w:val="Style3"/>
            <w:i/>
            <w:iCs/>
            <w:color w:val="000000"/>
          </w:rPr>
          <w:t>et al.</w:t>
        </w:r>
      </w:hyperlink>
      <w:hyperlink r:id="rId199">
        <w:r>
          <w:rPr>
            <w:rStyle w:val="Style3"/>
            <w:color w:val="000000"/>
          </w:rPr>
          <w:t xml:space="preserve"> (2011). Recommendations for examining and interpreting funnel plot asymmetry in meta-analyses of randomised controlled trials. </w:t>
        </w:r>
      </w:hyperlink>
      <w:hyperlink r:id="rId200">
        <w:r>
          <w:rPr>
            <w:rStyle w:val="Style3"/>
            <w:i/>
            <w:iCs/>
            <w:color w:val="000000"/>
          </w:rPr>
          <w:t>BMJ</w:t>
        </w:r>
      </w:hyperlink>
      <w:hyperlink r:id="rId201">
        <w:r>
          <w:rPr>
            <w:rStyle w:val="Style3"/>
            <w:color w:val="000000"/>
          </w:rPr>
          <w:t xml:space="preserve">, 343, d4002.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2">
        <w:r>
          <w:rPr>
            <w:rStyle w:val="Style3"/>
            <w:color w:val="000000"/>
          </w:rPr>
          <w:t xml:space="preserve">Troudet, J., Grandcolas, P., Blin, A., &amp; others. (2017). Taxonomic bias in biodiversity data and societal preferences. </w:t>
        </w:r>
      </w:hyperlink>
      <w:hyperlink r:id="rId203">
        <w:r>
          <w:rPr>
            <w:rStyle w:val="Style3"/>
            <w:i/>
            <w:iCs/>
            <w:color w:val="000000"/>
          </w:rPr>
          <w:t>Sci. Rep.</w:t>
        </w:r>
      </w:hyperlink>
      <w:hyperlink r:id="rId204">
        <w:r>
          <w:rPr>
            <w:rStyle w:val="Style3"/>
            <w:color w:val="000000"/>
          </w:rPr>
          <w:t xml:space="preserve">, 7, 9132.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5">
        <w:r>
          <w:rPr>
            <w:rStyle w:val="Style3"/>
            <w:color w:val="000000"/>
          </w:rPr>
          <w:t xml:space="preserve">Viechtbauer, W. (2010). Conducting meta-analyses in R with the metafor package. </w:t>
        </w:r>
      </w:hyperlink>
      <w:hyperlink r:id="rId206">
        <w:r>
          <w:rPr>
            <w:rStyle w:val="Style3"/>
            <w:i/>
            <w:iCs/>
            <w:color w:val="000000"/>
          </w:rPr>
          <w:t>J. Stat. Softw.</w:t>
        </w:r>
      </w:hyperlink>
      <w:hyperlink r:id="rId207">
        <w:r>
          <w:rPr>
            <w:rStyle w:val="Style3"/>
            <w:color w:val="000000"/>
          </w:rPr>
          <w:t xml:space="preserve">, 36, 1–48.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8">
        <w:r>
          <w:rPr>
            <w:rStyle w:val="Style3"/>
            <w:color w:val="000000"/>
          </w:rPr>
          <w:t xml:space="preserve">Wandersee, J.H. &amp; Schussler, E.E. (1999). Preventing Plant Blindness. </w:t>
        </w:r>
      </w:hyperlink>
      <w:hyperlink r:id="rId209">
        <w:r>
          <w:rPr>
            <w:rStyle w:val="Style3"/>
            <w:i/>
            <w:iCs/>
            <w:color w:val="000000"/>
          </w:rPr>
          <w:t>Am. Biol. Teach.</w:t>
        </w:r>
      </w:hyperlink>
      <w:hyperlink r:id="rId210">
        <w:r>
          <w:rPr>
            <w:rStyle w:val="Style3"/>
            <w:color w:val="000000"/>
          </w:rPr>
          <w:t xml:space="preserve">, 61, 82–86.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11">
        <w:r>
          <w:rPr>
            <w:rStyle w:val="Style3"/>
            <w:color w:val="000000"/>
          </w:rPr>
          <w:t xml:space="preserve">Wiens, J.J. &amp; Saban, K.E. (2025a). Questioning the sixth mass extinction. </w:t>
        </w:r>
      </w:hyperlink>
      <w:hyperlink r:id="rId212">
        <w:r>
          <w:rPr>
            <w:rStyle w:val="Style3"/>
            <w:i/>
            <w:iCs/>
            <w:color w:val="000000"/>
          </w:rPr>
          <w:t>Trends Ecol. Evol.</w:t>
        </w:r>
      </w:hyperlink>
      <w:hyperlink r:id="rId213">
        <w:r>
          <w:rPr>
            <w:rStyle w:val="Style3"/>
            <w:color w:val="000000"/>
          </w:rPr>
          <w:t>, 40, 375–384.</w:t>
        </w:r>
      </w:hyperlink>
      <w:r>
        <w:rPr>
          <w:color w:val="000000"/>
        </w:rPr>
        <w:t xml:space="preserve">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r>
        <w:rPr>
          <w:color w:val="000000"/>
        </w:rPr>
        <w:t xml:space="preserve">Wiens, J.J. &amp; Saban, K.E. (2025b). Proponents of the Sixth Mass Extinction admit it is unsupported. </w:t>
      </w:r>
      <w:hyperlink r:id="rId214">
        <w:r>
          <w:rPr>
            <w:rStyle w:val="Style3"/>
            <w:i/>
            <w:iCs/>
            <w:color w:val="000000"/>
          </w:rPr>
          <w:t>Trends Ecol. Evol.</w:t>
        </w:r>
      </w:hyperlink>
      <w:hyperlink r:id="rId215">
        <w:r>
          <w:rPr>
            <w:rStyle w:val="Style3"/>
            <w:color w:val="000000"/>
          </w:rPr>
          <w:t>, 40,</w:t>
        </w:r>
      </w:hyperlink>
      <w:r>
        <w:rPr>
          <w:color w:val="000000"/>
        </w:rPr>
        <w:t xml:space="preserve"> 724–725. </w:t>
      </w:r>
      <w:r>
        <w:br w:type="page"/>
      </w:r>
    </w:p>
    <w:p>
      <w:pPr>
        <w:pStyle w:val="LO-normal"/>
        <w:spacing w:lineRule="auto" w:line="480" w:before="0" w:after="0"/>
        <w:rPr>
          <w:color w:val="000000"/>
        </w:rPr>
      </w:pPr>
      <w:r>
        <w:rPr>
          <w:b/>
          <w:bCs/>
          <w:color w:val="000000"/>
        </w:rPr>
        <w:t>TABLES AND FIGURE CAPTIONS</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Table 1</w:t>
      </w:r>
      <w:r>
        <w:rPr>
          <w:color w:val="000000"/>
        </w:rPr>
        <w:t>. Main independent variables used in this meta-analysis (Group), their granular subclassification (Subgroup), and examples of specific variables from the different studies.</w:t>
      </w:r>
    </w:p>
    <w:p>
      <w:pPr>
        <w:pStyle w:val="LO-normal"/>
        <w:spacing w:lineRule="auto" w:line="480"/>
        <w:rPr>
          <w:color w:val="000000"/>
        </w:rPr>
      </w:pPr>
      <w:r>
        <w:rPr>
          <w:color w:val="000000"/>
        </w:rPr>
      </w:r>
    </w:p>
    <w:p>
      <w:pPr>
        <w:pStyle w:val="LO-normal"/>
        <w:spacing w:lineRule="auto" w:line="480"/>
        <w:rPr>
          <w:color w:val="000000"/>
        </w:rPr>
      </w:pPr>
      <w:r>
        <w:rPr>
          <w:color w:val="000000"/>
        </w:rPr>
      </w:r>
    </w:p>
    <w:tbl>
      <w:tblPr>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Pr>
      <w:tblGrid>
        <w:gridCol w:w="1619"/>
        <w:gridCol w:w="1918"/>
        <w:gridCol w:w="3344"/>
        <w:gridCol w:w="2179"/>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Group</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Subgroup</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Description</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Appearance</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Attrictiveness/Charisma</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overall attractiveness or charisma status of a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Size</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overall species body size</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Unusual coloration</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unusual colorations (rare colors) or patterns (iridescence, multiple colors)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Common coloration</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more common colorations (relative to the taxon/geographic area)</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Unusual shape</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unusual morphological attributes or body shapes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Commonness</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Cultural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how culturally familiar or embedded a species is within human societies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Ecological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ecological abundance or spatial and temporal frequency of species within their habitats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Geographical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range size, geographic distribution extent, and habitat breadth</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Taxonomical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taxonomic rarity or phylogenetic uniqueness of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Conservation</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Priority</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indicating whether a species is designated as a conservation priority by organizations or policies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Extinction risk</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threat status or extinction probability of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General bias</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Focal taxa versus control (6 macrotaxa considered)</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Analyses comparing taxonomic groups (e.g., vertebrates vs. invertebrates, plants vs. animals) against control or reference groups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Utilitarianism</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Harmful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that pose threats or dangers to humans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Useful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that provide direct benefits or services to humans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Other</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Excluded from analysis</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We grouped here any other difficult-to-classify predictor</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Socio-economic status of the responder of a survey</w:t>
            </w:r>
          </w:p>
        </w:tc>
      </w:tr>
    </w:tbl>
    <w:p>
      <w:pPr>
        <w:pStyle w:val="LO-normal"/>
        <w:spacing w:lineRule="auto" w:line="480"/>
        <w:rPr>
          <w:color w:val="000000"/>
        </w:rPr>
      </w:pPr>
      <w:r>
        <w:rPr>
          <w:color w:val="000000"/>
        </w:rPr>
      </w:r>
      <w:r>
        <w:br w:type="page"/>
      </w:r>
    </w:p>
    <w:p>
      <w:pPr>
        <w:pStyle w:val="LO-normal"/>
        <w:spacing w:lineRule="auto" w:line="480" w:before="0" w:after="240"/>
        <w:jc w:val="both"/>
        <w:rPr>
          <w:color w:val="000000"/>
        </w:rPr>
      </w:pPr>
      <w:r>
        <w:rPr>
          <w:b/>
          <w:bCs/>
          <w:color w:val="000000"/>
        </w:rPr>
        <w:t>FIGURE CAPTIONS</w:t>
      </w:r>
    </w:p>
    <w:p>
      <w:pPr>
        <w:pStyle w:val="LO-normal"/>
        <w:spacing w:lineRule="auto" w:line="480" w:before="240" w:after="240"/>
        <w:jc w:val="both"/>
        <w:rPr>
          <w:color w:val="000000"/>
        </w:rPr>
      </w:pPr>
      <w:r>
        <w:rPr>
          <w:b/>
          <w:bCs/>
          <w:color w:val="000000"/>
        </w:rPr>
        <w:t>Figure 1. Overview of the 78 studies collected considering time, geography, taxonomy and assigned macro-variable categories.</w:t>
      </w:r>
      <w:r>
        <w:rPr>
          <w:color w:val="000000"/>
        </w:rPr>
        <w:t xml:space="preserve"> </w:t>
      </w:r>
      <w:r>
        <w:rPr>
          <w:b/>
          <w:bCs/>
          <w:color w:val="000000"/>
        </w:rPr>
        <w:t>A</w:t>
      </w:r>
      <w:r>
        <w:rPr>
          <w:color w:val="000000"/>
        </w:rPr>
        <w:t xml:space="preserve">. The temporal distribution of studies included in the meta-analysis; </w:t>
      </w:r>
      <w:r>
        <w:rPr>
          <w:b/>
          <w:bCs/>
          <w:color w:val="000000"/>
        </w:rPr>
        <w:t>B</w:t>
      </w:r>
      <w:r>
        <w:rPr>
          <w:color w:val="000000"/>
        </w:rPr>
        <w:t xml:space="preserve">. The worldwide distribution of studies, excluding those described as “global” (n = 30); </w:t>
      </w:r>
      <w:r>
        <w:rPr>
          <w:b/>
          <w:bCs/>
          <w:color w:val="000000"/>
        </w:rPr>
        <w:t>C</w:t>
      </w:r>
      <w:r>
        <w:rPr>
          <w:color w:val="000000"/>
        </w:rPr>
        <w:t xml:space="preserve">. Taxonomic distribution of 125 unique effects across the 78 studies; </w:t>
      </w:r>
      <w:r>
        <w:rPr>
          <w:b/>
          <w:bCs/>
          <w:color w:val="000000"/>
        </w:rPr>
        <w:t>D</w:t>
      </w:r>
      <w:r>
        <w:rPr>
          <w:color w:val="000000"/>
        </w:rPr>
        <w:t>. Distribution of 123 unique explanatory variables (Table 1) across the 78 studies.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Figure 2</w:t>
      </w:r>
      <w:r>
        <w:rPr>
          <w:color w:val="000000"/>
        </w:rPr>
        <w:t xml:space="preserve">. </w:t>
      </w:r>
      <w:r>
        <w:rPr>
          <w:b/>
          <w:bCs/>
          <w:color w:val="000000"/>
        </w:rPr>
        <w:t>Meta-regression of predicted bias of biodiversity knowledge and perception across the five main groups of independent variables (base models; A) and data subsets breaking down the effects by more fine scale independent variables (B).</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Figure 3</w:t>
      </w:r>
      <w:r>
        <w:rPr>
          <w:color w:val="000000"/>
        </w:rPr>
        <w:t xml:space="preserve">. </w:t>
      </w:r>
      <w:r>
        <w:rPr>
          <w:b/>
          <w:bCs/>
          <w:color w:val="000000"/>
        </w:rPr>
        <w:t>Meta-regression of predicted bias of biodiversity knowledge and perception across the five main types of bias variables considered</w:t>
      </w:r>
      <w:r>
        <w:rPr>
          <w:color w:val="000000"/>
        </w:rPr>
        <w:t>. Results are stratified by study methodology (</w:t>
      </w:r>
      <w:r>
        <w:rPr>
          <w:b/>
          <w:bCs/>
          <w:color w:val="000000"/>
        </w:rPr>
        <w:t>A</w:t>
      </w:r>
      <w:r>
        <w:rPr>
          <w:color w:val="000000"/>
        </w:rPr>
        <w:t>), dependent variable (</w:t>
      </w:r>
      <w:r>
        <w:rPr>
          <w:b/>
          <w:bCs/>
          <w:color w:val="000000"/>
        </w:rPr>
        <w:t>B</w:t>
      </w:r>
      <w:r>
        <w:rPr>
          <w:color w:val="000000"/>
        </w:rPr>
        <w:t>), geographic region (</w:t>
      </w:r>
      <w:r>
        <w:rPr>
          <w:b/>
          <w:bCs/>
          <w:color w:val="000000"/>
        </w:rPr>
        <w:t>C</w:t>
      </w:r>
      <w:r>
        <w:rPr>
          <w:color w:val="000000"/>
        </w:rPr>
        <w:t>), and taxonomic group (</w:t>
      </w:r>
      <w:r>
        <w:rPr>
          <w:b/>
          <w:bCs/>
          <w:color w:val="000000"/>
        </w:rPr>
        <w:t>D</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Vertical dashed lines denote no association (</w:t>
      </w:r>
      <w:r>
        <w:rPr>
          <w:i/>
          <w:iCs/>
          <w:color w:val="000000"/>
        </w:rPr>
        <w:t>r</w:t>
      </w:r>
      <w:r>
        <w:rPr>
          <w:color w:val="000000"/>
        </w:rPr>
        <w:t xml:space="preserve"> = 0).</w:t>
      </w:r>
    </w:p>
    <w:sectPr>
      <w:footerReference w:type="even" r:id="rId216"/>
      <w:footerReference w:type="default" r:id="rId217"/>
      <w:footerReference w:type="first" r:id="rId218"/>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Arial Unicode MS">
    <w:charset w:val="01"/>
    <w:family w:val="roman"/>
    <w:pitch w:val="variable"/>
    <w:embedRegular r:id="rId1" w:fontKey="{01014A78-CABC-4EF0-12AC-5CD89AEFDE01}"/>
  </w:font>
  <w:font w:name="Arial">
    <w:altName w:val="sans-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name w:val="LO-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hyperlink" Target="https://www.zotero.org/google-docs/?z3KlUh" TargetMode="External"/><Relationship Id="rId215" Type="http://schemas.openxmlformats.org/officeDocument/2006/relationships/hyperlink" Target="https://www.zotero.org/google-docs/?z3KlUh" TargetMode="External"/><Relationship Id="rId216" Type="http://schemas.openxmlformats.org/officeDocument/2006/relationships/footer" Target="footer1.xml"/><Relationship Id="rId217" Type="http://schemas.openxmlformats.org/officeDocument/2006/relationships/footer" Target="footer2.xml"/><Relationship Id="rId218" Type="http://schemas.openxmlformats.org/officeDocument/2006/relationships/footer" Target="footer3.xml"/><Relationship Id="rId219" Type="http://schemas.openxmlformats.org/officeDocument/2006/relationships/fontTable" Target="fontTable.xml"/><Relationship Id="rId220" Type="http://schemas.openxmlformats.org/officeDocument/2006/relationships/settings" Target="settings.xml"/><Relationship Id="rId2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176</TotalTime>
  <Application>LibreOffice/26.2.1.2$MacOSX_AARCH64 LibreOffice_project/8399f6259d8c87f40e7255cdb3c9b958f5e08948</Application>
  <AppVersion>15.0000</AppVersion>
  <Pages>28</Pages>
  <Words>6496</Words>
  <Characters>38848</Characters>
  <CharactersWithSpaces>45209</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2026-07-23T08:31:58Z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