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8670C" w14:textId="1B5BE3A0" w:rsidR="00483D92" w:rsidRDefault="00426F66">
      <w:pPr>
        <w:rPr>
          <w:rFonts w:ascii="Times New Roman" w:hAnsi="Times New Roman" w:cs="Times New Roman"/>
          <w:sz w:val="24"/>
          <w:szCs w:val="24"/>
          <w:u w:val="single"/>
          <w:lang w:val="en-IE"/>
        </w:rPr>
      </w:pPr>
      <w:r w:rsidRPr="007C6442">
        <w:rPr>
          <w:rFonts w:ascii="Times New Roman" w:hAnsi="Times New Roman" w:cs="Times New Roman"/>
          <w:sz w:val="24"/>
          <w:szCs w:val="24"/>
          <w:u w:val="single"/>
          <w:lang w:val="en-IE"/>
        </w:rPr>
        <w:t>Discussion</w:t>
      </w:r>
    </w:p>
    <w:p w14:paraId="2F383550" w14:textId="776D4D95" w:rsidR="00D21DEA" w:rsidRPr="00D21DEA" w:rsidRDefault="00D21DE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21DEA">
        <w:rPr>
          <w:rFonts w:ascii="Times New Roman" w:hAnsi="Times New Roman" w:cs="Times New Roman"/>
          <w:sz w:val="24"/>
          <w:szCs w:val="24"/>
          <w:lang w:val="en-IE"/>
        </w:rPr>
        <w:t xml:space="preserve">Interpretation of average results in </w:t>
      </w:r>
      <w:r>
        <w:rPr>
          <w:rFonts w:ascii="Times New Roman" w:hAnsi="Times New Roman" w:cs="Times New Roman"/>
          <w:sz w:val="24"/>
          <w:szCs w:val="24"/>
          <w:lang w:val="en-IE"/>
        </w:rPr>
        <w:t>E</w:t>
      </w:r>
      <w:r w:rsidRPr="00D21DEA">
        <w:rPr>
          <w:rFonts w:ascii="Times New Roman" w:hAnsi="Times New Roman" w:cs="Times New Roman"/>
          <w:sz w:val="24"/>
          <w:szCs w:val="24"/>
          <w:lang w:val="en-IE"/>
        </w:rPr>
        <w:t>urope</w:t>
      </w:r>
    </w:p>
    <w:p w14:paraId="467CF8E3" w14:textId="12427A56" w:rsidR="007C6442" w:rsidRPr="00426F66" w:rsidRDefault="007C6442" w:rsidP="007C6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de-DE"/>
        </w:rPr>
      </w:pPr>
      <w:r w:rsidRPr="00426F66">
        <w:rPr>
          <w:rFonts w:ascii="Times New Roman" w:eastAsia="Times New Roman" w:hAnsi="Times New Roman" w:cs="Times New Roman"/>
          <w:b/>
          <w:bCs/>
          <w:sz w:val="24"/>
          <w:szCs w:val="24"/>
          <w:lang w:val="en-IE" w:eastAsia="de-DE"/>
        </w:rPr>
        <w:t>Interpretation of Differences</w:t>
      </w:r>
      <w:r w:rsidR="00D21DEA">
        <w:rPr>
          <w:rFonts w:ascii="Times New Roman" w:eastAsia="Times New Roman" w:hAnsi="Times New Roman" w:cs="Times New Roman"/>
          <w:b/>
          <w:bCs/>
          <w:sz w:val="24"/>
          <w:szCs w:val="24"/>
          <w:lang w:val="en-IE" w:eastAsia="de-DE"/>
        </w:rPr>
        <w:t xml:space="preserve"> Hungary vs. Germany</w:t>
      </w:r>
      <w:r w:rsidRPr="00426F66">
        <w:rPr>
          <w:rFonts w:ascii="Times New Roman" w:eastAsia="Times New Roman" w:hAnsi="Times New Roman" w:cs="Times New Roman"/>
          <w:b/>
          <w:bCs/>
          <w:sz w:val="24"/>
          <w:szCs w:val="24"/>
          <w:lang w:val="en-IE" w:eastAsia="de-DE"/>
        </w:rPr>
        <w:t>:</w:t>
      </w:r>
    </w:p>
    <w:p w14:paraId="4364EC7D" w14:textId="77777777" w:rsidR="007C6442" w:rsidRPr="00426F66" w:rsidRDefault="007C6442" w:rsidP="007C6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de-DE"/>
        </w:rPr>
      </w:pPr>
      <w:r w:rsidRPr="00426F66">
        <w:rPr>
          <w:rFonts w:ascii="Times New Roman" w:eastAsia="Times New Roman" w:hAnsi="Times New Roman" w:cs="Times New Roman"/>
          <w:sz w:val="24"/>
          <w:szCs w:val="24"/>
          <w:lang w:val="en-IE" w:eastAsia="de-DE"/>
        </w:rPr>
        <w:t>These differences likely reflect the distinct political and social contexts of Germany and Hungary in relation to immigration.</w:t>
      </w:r>
    </w:p>
    <w:p w14:paraId="11D150F4" w14:textId="77777777" w:rsidR="007C6442" w:rsidRPr="00426F66" w:rsidRDefault="007C6442" w:rsidP="007C64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de-DE"/>
        </w:rPr>
      </w:pPr>
      <w:r w:rsidRPr="00426F66">
        <w:rPr>
          <w:rFonts w:ascii="Times New Roman" w:eastAsia="Times New Roman" w:hAnsi="Times New Roman" w:cs="Times New Roman"/>
          <w:b/>
          <w:bCs/>
          <w:sz w:val="24"/>
          <w:szCs w:val="24"/>
          <w:lang w:val="en-IE" w:eastAsia="de-DE"/>
        </w:rPr>
        <w:t>Government Response:</w:t>
      </w:r>
      <w:r w:rsidRPr="00426F66">
        <w:rPr>
          <w:rFonts w:ascii="Times New Roman" w:eastAsia="Times New Roman" w:hAnsi="Times New Roman" w:cs="Times New Roman"/>
          <w:sz w:val="24"/>
          <w:szCs w:val="24"/>
          <w:lang w:val="en-IE" w:eastAsia="de-DE"/>
        </w:rPr>
        <w:t xml:space="preserve"> Germany, particularly in the initial phase of the 2015 crisis, adopted a more welcoming stance ("</w:t>
      </w:r>
      <w:proofErr w:type="spellStart"/>
      <w:r w:rsidRPr="00426F66">
        <w:rPr>
          <w:rFonts w:ascii="Times New Roman" w:eastAsia="Times New Roman" w:hAnsi="Times New Roman" w:cs="Times New Roman"/>
          <w:sz w:val="24"/>
          <w:szCs w:val="24"/>
          <w:lang w:val="en-IE" w:eastAsia="de-DE"/>
        </w:rPr>
        <w:t>Wir</w:t>
      </w:r>
      <w:proofErr w:type="spellEnd"/>
      <w:r w:rsidRPr="00426F66">
        <w:rPr>
          <w:rFonts w:ascii="Times New Roman" w:eastAsia="Times New Roman" w:hAnsi="Times New Roman" w:cs="Times New Roman"/>
          <w:sz w:val="24"/>
          <w:szCs w:val="24"/>
          <w:lang w:val="en-IE" w:eastAsia="de-DE"/>
        </w:rPr>
        <w:t xml:space="preserve"> </w:t>
      </w:r>
      <w:proofErr w:type="spellStart"/>
      <w:r w:rsidRPr="00426F66">
        <w:rPr>
          <w:rFonts w:ascii="Times New Roman" w:eastAsia="Times New Roman" w:hAnsi="Times New Roman" w:cs="Times New Roman"/>
          <w:sz w:val="24"/>
          <w:szCs w:val="24"/>
          <w:lang w:val="en-IE" w:eastAsia="de-DE"/>
        </w:rPr>
        <w:t>schaffen</w:t>
      </w:r>
      <w:proofErr w:type="spellEnd"/>
      <w:r w:rsidRPr="00426F66">
        <w:rPr>
          <w:rFonts w:ascii="Times New Roman" w:eastAsia="Times New Roman" w:hAnsi="Times New Roman" w:cs="Times New Roman"/>
          <w:sz w:val="24"/>
          <w:szCs w:val="24"/>
          <w:lang w:val="en-IE" w:eastAsia="de-DE"/>
        </w:rPr>
        <w:t xml:space="preserve"> das!"). In contrast, Hungary's government, led by Viktor </w:t>
      </w:r>
      <w:proofErr w:type="spellStart"/>
      <w:r w:rsidRPr="00426F66">
        <w:rPr>
          <w:rFonts w:ascii="Times New Roman" w:eastAsia="Times New Roman" w:hAnsi="Times New Roman" w:cs="Times New Roman"/>
          <w:sz w:val="24"/>
          <w:szCs w:val="24"/>
          <w:lang w:val="en-IE" w:eastAsia="de-DE"/>
        </w:rPr>
        <w:t>Orbán</w:t>
      </w:r>
      <w:proofErr w:type="spellEnd"/>
      <w:r w:rsidRPr="00426F66">
        <w:rPr>
          <w:rFonts w:ascii="Times New Roman" w:eastAsia="Times New Roman" w:hAnsi="Times New Roman" w:cs="Times New Roman"/>
          <w:sz w:val="24"/>
          <w:szCs w:val="24"/>
          <w:lang w:val="en-IE" w:eastAsia="de-DE"/>
        </w:rPr>
        <w:t xml:space="preserve">, took a strong anti-immigration stance, framing immigrants as threats and erecting border fences. This stark difference in official responses likely shaped public opinion and the dynamics of polarization in each country.   </w:t>
      </w:r>
    </w:p>
    <w:p w14:paraId="261B5671" w14:textId="77777777" w:rsidR="007C6442" w:rsidRPr="00426F66" w:rsidRDefault="007C6442" w:rsidP="007C64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de-DE"/>
        </w:rPr>
      </w:pPr>
      <w:r w:rsidRPr="00426F66">
        <w:rPr>
          <w:rFonts w:ascii="Times New Roman" w:eastAsia="Times New Roman" w:hAnsi="Times New Roman" w:cs="Times New Roman"/>
          <w:b/>
          <w:bCs/>
          <w:sz w:val="24"/>
          <w:szCs w:val="24"/>
          <w:lang w:val="en-IE" w:eastAsia="de-DE"/>
        </w:rPr>
        <w:t>Public Discourse:</w:t>
      </w:r>
      <w:r w:rsidRPr="00426F66">
        <w:rPr>
          <w:rFonts w:ascii="Times New Roman" w:eastAsia="Times New Roman" w:hAnsi="Times New Roman" w:cs="Times New Roman"/>
          <w:sz w:val="24"/>
          <w:szCs w:val="24"/>
          <w:lang w:val="en-IE" w:eastAsia="de-DE"/>
        </w:rPr>
        <w:t xml:space="preserve"> The public discourse surrounding immigration in the two countries also varied significantly. In Hungary, the government's strong anti-immigration rhetoric likely contributed to a more negative framing of the issue. While Germany initially showed more support for refugees, negative sentiments and concerns about integration also grew, particularly after events like the 2015/16 New Year's Eve incidents in Cologne.   </w:t>
      </w:r>
    </w:p>
    <w:p w14:paraId="01CFF091" w14:textId="77777777" w:rsidR="007C6442" w:rsidRPr="00426F66" w:rsidRDefault="007C6442" w:rsidP="007C64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de-DE"/>
        </w:rPr>
      </w:pPr>
      <w:r w:rsidRPr="00426F66">
        <w:rPr>
          <w:rFonts w:ascii="Times New Roman" w:eastAsia="Times New Roman" w:hAnsi="Times New Roman" w:cs="Times New Roman"/>
          <w:b/>
          <w:bCs/>
          <w:sz w:val="24"/>
          <w:szCs w:val="24"/>
          <w:lang w:val="en-IE" w:eastAsia="de-DE"/>
        </w:rPr>
        <w:t>Transit vs. Destination Country:</w:t>
      </w:r>
      <w:r w:rsidRPr="00426F66">
        <w:rPr>
          <w:rFonts w:ascii="Times New Roman" w:eastAsia="Times New Roman" w:hAnsi="Times New Roman" w:cs="Times New Roman"/>
          <w:sz w:val="24"/>
          <w:szCs w:val="24"/>
          <w:lang w:val="en-IE" w:eastAsia="de-DE"/>
        </w:rPr>
        <w:t xml:space="preserve"> Germany was a primary destination for many refugees during the 2015 crisis, while Hungary largely served as a transit country. This difference in experience with the direct impact of refugee flows could have influenced public perceptions and the resulting polarization.   </w:t>
      </w:r>
    </w:p>
    <w:p w14:paraId="214C910B" w14:textId="77777777" w:rsidR="007C6442" w:rsidRPr="00426F66" w:rsidRDefault="007C6442" w:rsidP="007C64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de-DE"/>
        </w:rPr>
      </w:pPr>
      <w:r w:rsidRPr="00426F66">
        <w:rPr>
          <w:rFonts w:ascii="Times New Roman" w:eastAsia="Times New Roman" w:hAnsi="Times New Roman" w:cs="Times New Roman"/>
          <w:b/>
          <w:bCs/>
          <w:sz w:val="24"/>
          <w:szCs w:val="24"/>
          <w:lang w:val="en-IE" w:eastAsia="de-DE"/>
        </w:rPr>
        <w:t>Pre-existing Attitudes:</w:t>
      </w:r>
      <w:r w:rsidRPr="00426F66">
        <w:rPr>
          <w:rFonts w:ascii="Times New Roman" w:eastAsia="Times New Roman" w:hAnsi="Times New Roman" w:cs="Times New Roman"/>
          <w:sz w:val="24"/>
          <w:szCs w:val="24"/>
          <w:lang w:val="en-IE" w:eastAsia="de-DE"/>
        </w:rPr>
        <w:t xml:space="preserve"> Pre-existing attitudes towards immigration and the level of societal homogeneity also differed between the two countries, which could have influenced how the refugee crisis impacted public opinion.</w:t>
      </w:r>
    </w:p>
    <w:p w14:paraId="1165067A" w14:textId="77777777" w:rsidR="007C6442" w:rsidRPr="00426F66" w:rsidRDefault="007C6442" w:rsidP="007C6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de-DE"/>
        </w:rPr>
      </w:pPr>
      <w:r w:rsidRPr="00426F66">
        <w:rPr>
          <w:rFonts w:ascii="Times New Roman" w:eastAsia="Times New Roman" w:hAnsi="Times New Roman" w:cs="Times New Roman"/>
          <w:b/>
          <w:bCs/>
          <w:sz w:val="24"/>
          <w:szCs w:val="24"/>
          <w:lang w:val="en-IE" w:eastAsia="de-DE"/>
        </w:rPr>
        <w:t>Conclusion:</w:t>
      </w:r>
    </w:p>
    <w:p w14:paraId="6BB638A1" w14:textId="77777777" w:rsidR="007C6442" w:rsidRPr="00426F66" w:rsidRDefault="007C6442" w:rsidP="007C6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de-DE"/>
        </w:rPr>
      </w:pPr>
      <w:r w:rsidRPr="00426F66">
        <w:rPr>
          <w:rFonts w:ascii="Times New Roman" w:eastAsia="Times New Roman" w:hAnsi="Times New Roman" w:cs="Times New Roman"/>
          <w:sz w:val="24"/>
          <w:szCs w:val="24"/>
          <w:lang w:val="en-IE" w:eastAsia="de-DE"/>
        </w:rPr>
        <w:t>While the 2015 refugee crisis acted as a significant polarizing event in both Germany and Hungary, the specific patterns and magnitudes of change in opinion polarization differed. Germany generally experienced a clearer shift towards negative sentiment and increased polarization across various dimensions after the crisis. Hungary's response was characterized by a strong government-led anti-immigration stance, which likely contributed to a distinct pattern of opinion polarization compared to Germany. The comparison highlights how a major European event can interact with different national contexts to produce varying effects on public opinion and its polarization.</w:t>
      </w:r>
    </w:p>
    <w:p w14:paraId="050C5DF3" w14:textId="77777777" w:rsidR="007C6442" w:rsidRPr="007C6442" w:rsidRDefault="007C6442">
      <w:pPr>
        <w:rPr>
          <w:rFonts w:ascii="Times New Roman" w:hAnsi="Times New Roman" w:cs="Times New Roman"/>
          <w:sz w:val="24"/>
          <w:szCs w:val="24"/>
          <w:u w:val="single"/>
          <w:lang w:val="en-IE"/>
        </w:rPr>
      </w:pPr>
    </w:p>
    <w:sectPr w:rsidR="007C6442" w:rsidRPr="007C64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F387F"/>
    <w:multiLevelType w:val="multilevel"/>
    <w:tmpl w:val="5148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005607"/>
    <w:multiLevelType w:val="multilevel"/>
    <w:tmpl w:val="4B18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E77DBA"/>
    <w:multiLevelType w:val="multilevel"/>
    <w:tmpl w:val="2B18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66"/>
    <w:rsid w:val="00020A25"/>
    <w:rsid w:val="003865C2"/>
    <w:rsid w:val="00426F66"/>
    <w:rsid w:val="004F3716"/>
    <w:rsid w:val="007C6442"/>
    <w:rsid w:val="00896180"/>
    <w:rsid w:val="00D2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A8881"/>
  <w15:chartTrackingRefBased/>
  <w15:docId w15:val="{30949641-F346-4745-9A7E-9243449E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26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426F66"/>
    <w:rPr>
      <w:b/>
      <w:bCs/>
    </w:rPr>
  </w:style>
  <w:style w:type="character" w:customStyle="1" w:styleId="citation-0">
    <w:name w:val="citation-0"/>
    <w:basedOn w:val="Absatz-Standardschriftart"/>
    <w:rsid w:val="00426F66"/>
  </w:style>
  <w:style w:type="character" w:customStyle="1" w:styleId="citation-1">
    <w:name w:val="citation-1"/>
    <w:basedOn w:val="Absatz-Standardschriftart"/>
    <w:rsid w:val="00426F66"/>
  </w:style>
  <w:style w:type="character" w:customStyle="1" w:styleId="button-container">
    <w:name w:val="button-container"/>
    <w:basedOn w:val="Absatz-Standardschriftart"/>
    <w:rsid w:val="00426F66"/>
  </w:style>
  <w:style w:type="character" w:customStyle="1" w:styleId="citation-2">
    <w:name w:val="citation-2"/>
    <w:basedOn w:val="Absatz-Standardschriftart"/>
    <w:rsid w:val="00426F66"/>
  </w:style>
  <w:style w:type="character" w:customStyle="1" w:styleId="citation-3">
    <w:name w:val="citation-3"/>
    <w:basedOn w:val="Absatz-Standardschriftart"/>
    <w:rsid w:val="00426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Pinto</dc:creator>
  <cp:keywords/>
  <dc:description/>
  <cp:lastModifiedBy>Stefano Pinto</cp:lastModifiedBy>
  <cp:revision>4</cp:revision>
  <dcterms:created xsi:type="dcterms:W3CDTF">2025-04-30T00:04:00Z</dcterms:created>
  <dcterms:modified xsi:type="dcterms:W3CDTF">2025-04-30T00:34:00Z</dcterms:modified>
</cp:coreProperties>
</file>