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Coeficientes: Sin penalidad vs L1 (λ^cv) vs L2 (λ^cv)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8"/>
              </w:rPr>
              <w:t>Variable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Unpenalized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L1 (λ^cv)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L2 (λ^cv)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0.86740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0.86910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0.86780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horastrab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-0.01450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-0.01450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-0.01450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educ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-0.14160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-0.14160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-0.14160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0.06190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0.06180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0.06190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edad2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-0.00110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-0.00110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-0.00110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coberturamedica_mutual_prepaga_emergencia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-0.46920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-0.46910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-0.46910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cobertura_medica_plan_seguro_publico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1.40910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1.40920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1.40910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cobertura_medica_ninguna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1.39320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1.39330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1.39310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cobertura_medica_obra_social_y_mutual_prepaga_emergencia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0.58740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0.58700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0.58780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sexo_femenino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-0.09500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-0.09490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-0.09500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estado_laboral_desocupado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0.96870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0.96860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0.96900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estado_laboral_inactivo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0.14730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0.14700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0.14730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estado_laboral_menor_de_10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-0.56350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-0.56440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-0.56390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estado_civil_casado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0.31740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0.31740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0.31730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estado_civil_separado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0.32830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0.32820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0.32830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estado_civil_viudo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0.28310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0.28280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0.28290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estado_civil_soltero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-0.50230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-0.50260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-0.50240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