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7C7B"/>
          <w:sz w:val="22"/>
          <w:szCs w:val="22"/>
        </w:rPr>
        <w:t xml:space="preserve">TRACCIA PER IL DOCENTE</w:t>
      </w:r>
    </w:p>
    <w:p>
      <w:pPr>
        <w:pBdr>
          <w:bottom w:val="single" w:color="0B2545" w:sz="6" w:space="4"/>
        </w:pBdr>
        <w:spacing w:after="60"/>
      </w:pPr>
      <w:r>
        <w:rPr>
          <w:b/>
          <w:bCs/>
          <w:color w:val="0B2545"/>
          <w:sz w:val="30"/>
          <w:szCs w:val="30"/>
        </w:rPr>
        <w:t xml:space="preserve">L'ecosistema normativo del digitale: reti TLC e Intelligenza Artificiale</w:t>
      </w:r>
    </w:p>
    <w:p>
      <w:pPr>
        <w:spacing w:after="200"/>
      </w:pPr>
      <w:r>
        <w:rPr>
          <w:color w:val="5B6B7F"/>
          <w:sz w:val="19"/>
          <w:szCs w:val="19"/>
        </w:rPr>
        <w:t xml:space="preserve">Master II Livello in Relazioni Istituzionali e Lobbying — LUMSA  ·  Sabato 6 giugno 2026, ore 11:00–13:00  ·  Stefano Salsano</w:t>
      </w:r>
    </w:p>
    <w:p>
      <w:pPr>
        <w:spacing w:after="120" w:line="276"/>
      </w:pPr>
      <w:r>
        <w:rPr>
          <w:sz w:val="21"/>
          <w:szCs w:val="21"/>
        </w:rPr>
        <w:t xml:space="preserve">Questo documento accompagna le slide con una traccia discorsiva: per ogni gruppo di slide trovi cosa dire (in tono colloquiale, non da leggere parola per parola), i passaggi da non saltare e alcuni spunti per coinvolgere l'aula. La lezione dura due ore: i tempi indicati lasciano margine per domande.</w:t>
      </w:r>
    </w:p>
    <w:p>
      <w:pPr>
        <w:pStyle w:val="Heading1"/>
      </w:pPr>
      <w:r>
        <w:t xml:space="preserve">Scaletta e tempi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1100"/>
        <w:gridCol w:w="1000"/>
      </w:tblGrid>
      <w:tr>
        <w:trPr>
          <w:tblHeader/>
        </w:trPr>
        <w:tc>
          <w:tcPr>
            <w:tcW w:type="dxa" w:w="2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0B254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Blocco</w:t>
            </w:r>
          </w:p>
        </w:tc>
        <w:tc>
          <w:tcPr>
            <w:tcW w:type="dxa" w:w="4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0B254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Contenuto</w:t>
            </w:r>
          </w:p>
        </w:tc>
        <w:tc>
          <w:tcPr>
            <w:tcW w:type="dxa" w:w="1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0B254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1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0B254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Apertura</w:t>
            </w:r>
          </w:p>
        </w:tc>
        <w:tc>
          <w:tcPr>
            <w:tcW w:type="dxa" w:w="4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Saluti, inquadramento, perché reti e IA contano per il lobbying</w:t>
            </w:r>
          </w:p>
        </w:tc>
        <w:tc>
          <w:tcPr>
            <w:tcW w:type="dxa" w:w="1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1–3</w:t>
            </w:r>
          </w:p>
        </w:tc>
        <w:tc>
          <w:tcPr>
            <w:tcW w:type="dxa" w:w="1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10'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Parte 1 — Storia e mercato</w:t>
            </w:r>
          </w:p>
        </w:tc>
        <w:tc>
          <w:tcPr>
            <w:tcW w:type="dxa" w:w="4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25 anni di telco: concorrenza, capex/debito, fibra, net neutrality, hyperscaler</w:t>
            </w:r>
          </w:p>
        </w:tc>
        <w:tc>
          <w:tcPr>
            <w:tcW w:type="dxa" w:w="1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4–12</w:t>
            </w:r>
          </w:p>
        </w:tc>
        <w:tc>
          <w:tcPr>
            <w:tcW w:type="dxa" w:w="1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25'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Parte 1 — Digital Decade</w:t>
            </w:r>
          </w:p>
        </w:tc>
        <w:tc>
          <w:tcPr>
            <w:tcW w:type="dxa" w:w="4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Obiettivi 2030 e stato di avanzamento dell'Italia</w:t>
            </w:r>
          </w:p>
        </w:tc>
        <w:tc>
          <w:tcPr>
            <w:tcW w:type="dxa" w:w="1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13–16</w:t>
            </w:r>
          </w:p>
        </w:tc>
        <w:tc>
          <w:tcPr>
            <w:tcW w:type="dxa" w:w="1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12'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Parte 1 — DNA</w:t>
            </w:r>
          </w:p>
        </w:tc>
        <w:tc>
          <w:tcPr>
            <w:tcW w:type="dxa" w:w="4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Digital Networks Act: cosa cambia, rame-fibra, fair share, iter</w:t>
            </w:r>
          </w:p>
        </w:tc>
        <w:tc>
          <w:tcPr>
            <w:tcW w:type="dxa" w:w="1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17–21</w:t>
            </w:r>
          </w:p>
        </w:tc>
        <w:tc>
          <w:tcPr>
            <w:tcW w:type="dxa" w:w="1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18'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Parte 2 — Investimenti IA</w:t>
            </w:r>
          </w:p>
        </w:tc>
        <w:tc>
          <w:tcPr>
            <w:tcW w:type="dxa" w:w="4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Corsa europea, InvestAI, numeri, Italia</w:t>
            </w:r>
          </w:p>
        </w:tc>
        <w:tc>
          <w:tcPr>
            <w:tcW w:type="dxa" w:w="1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22–25</w:t>
            </w:r>
          </w:p>
        </w:tc>
        <w:tc>
          <w:tcPr>
            <w:tcW w:type="dxa" w:w="1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12'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Parte 2 — AI Act</w:t>
            </w:r>
          </w:p>
        </w:tc>
        <w:tc>
          <w:tcPr>
            <w:tcW w:type="dxa" w:w="4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Regolamento, rischio, calendario, sanzioni, Digital Omnibus</w:t>
            </w:r>
          </w:p>
        </w:tc>
        <w:tc>
          <w:tcPr>
            <w:tcW w:type="dxa" w:w="1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26–30</w:t>
            </w:r>
          </w:p>
        </w:tc>
        <w:tc>
          <w:tcPr>
            <w:tcW w:type="dxa" w:w="1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20'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Parte 2 — Legge IT</w:t>
            </w:r>
          </w:p>
        </w:tc>
        <w:tc>
          <w:tcPr>
            <w:tcW w:type="dxa" w:w="4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Legge 132/2025: ambiti, novità, intreccio UE-nazionale</w:t>
            </w:r>
          </w:p>
        </w:tc>
        <w:tc>
          <w:tcPr>
            <w:tcW w:type="dxa" w:w="1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31–34</w:t>
            </w:r>
          </w:p>
        </w:tc>
        <w:tc>
          <w:tcPr>
            <w:tcW w:type="dxa" w:w="1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13'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Chiusura</w:t>
            </w:r>
          </w:p>
        </w:tc>
        <w:tc>
          <w:tcPr>
            <w:tcW w:type="dxa" w:w="4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Sintesi, domande e discussione</w:t>
            </w:r>
          </w:p>
        </w:tc>
        <w:tc>
          <w:tcPr>
            <w:tcW w:type="dxa" w:w="11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35–36</w:t>
            </w:r>
          </w:p>
        </w:tc>
        <w:tc>
          <w:tcPr>
            <w:tcW w:type="dxa" w:w="1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2433"/>
                <w:sz w:val="19"/>
                <w:szCs w:val="19"/>
              </w:rPr>
              <w:t xml:space="preserve">10'</w:t>
            </w:r>
          </w:p>
        </w:tc>
      </w:tr>
    </w:tbl>
    <w:p>
      <w:pPr>
        <w:spacing w:after="120" w:line="276"/>
      </w:pPr>
      <w:r>
        <w:rPr>
          <w:sz w:val="12"/>
          <w:szCs w:val="12"/>
        </w:rPr>
        <w:t xml:space="preserve"/>
      </w:r>
    </w:p>
    <w:p>
      <w:pPr>
        <w:pStyle w:val="Heading1"/>
      </w:pPr>
      <w:r>
        <w:t xml:space="preserve">Apertura  (slide 1–3, ~10')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1  ·  </w:t>
      </w:r>
      <w:r>
        <w:rPr>
          <w:b/>
          <w:bCs/>
          <w:color w:val="0B2545"/>
          <w:sz w:val="20"/>
          <w:szCs w:val="20"/>
        </w:rPr>
        <w:t xml:space="preserve">Titolo</w:t>
      </w:r>
    </w:p>
    <w:p>
      <w:pPr>
        <w:spacing w:after="120" w:line="276"/>
      </w:pPr>
      <w:r>
        <w:t xml:space="preserve">Presentati e inquadra la lezione in una frase: oggi parliamo di due grandi dossier su cui, proprio in questi mesi, si concentra moltissima attività di relazioni istituzionali in Europa e in Italia — le reti di telecomunicazione e l'intelligenza artificiale. Sono temi tecnici, ma li affronteremo dal punto di vista delle regole, degli attori e degli interessi: cioè dal vostro punto di vista.</w:t>
      </w:r>
    </w:p>
    <w:p>
      <w:pPr>
        <w:spacing w:after="120" w:line="264"/>
        <w:ind w:left="200"/>
      </w:pPr>
      <w:r>
        <w:rPr>
          <w:b/>
          <w:bCs/>
          <w:color w:val="B07A00"/>
          <w:sz w:val="19"/>
          <w:szCs w:val="19"/>
        </w:rPr>
        <w:t xml:space="preserve">▸ Spunto: </w:t>
      </w:r>
      <w:r>
        <w:rPr>
          <w:color w:val="333333"/>
          <w:sz w:val="19"/>
          <w:szCs w:val="19"/>
        </w:rPr>
        <w:t xml:space="preserve">Chiedi a mano alzata chi ha già sentito parlare di «AI Act» e chi di «Digital Networks Act»: serve a tarare il livello.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2  ·  </w:t>
      </w:r>
      <w:r>
        <w:rPr>
          <w:b/>
          <w:bCs/>
          <w:color w:val="0B2545"/>
          <w:sz w:val="20"/>
          <w:szCs w:val="20"/>
        </w:rPr>
        <w:t xml:space="preserve">Struttura della lezione</w:t>
      </w:r>
    </w:p>
    <w:p>
      <w:pPr>
        <w:spacing w:after="120" w:line="276"/>
      </w:pPr>
      <w:r>
        <w:t xml:space="preserve">Spiega la divisione in due blocchi. Primo blocco: le reti — partiamo da 25 anni di storia regolatoria ed economica del settore, poi gli obiettivi 2030 del Digital Decade, infine la grande riforma del 2026, il Digital Networks Act. Secondo blocco: l'intelligenza artificiale, con tre pezzi — investimenti, regolamento europeo e legge italiana. Il filo conduttore è sempre lo stesso: chi decide, con quali strumenti, e dove si può incidere.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3  ·  </w:t>
      </w:r>
      <w:r>
        <w:rPr>
          <w:b/>
          <w:bCs/>
          <w:color w:val="0B2545"/>
          <w:sz w:val="20"/>
          <w:szCs w:val="20"/>
        </w:rPr>
        <w:t xml:space="preserve">Perché ci riguarda</w:t>
      </w:r>
    </w:p>
    <w:p>
      <w:pPr>
        <w:spacing w:after="120" w:line="276"/>
      </w:pPr>
      <w:r>
        <w:t xml:space="preserve">Momento per agganciare l'aula. Quattro ragioni per cui questi dossier sono palestra di lobbying: posta in gioco economica enorme; molti livelli di decisione, quindi molte porte a cui bussare; interessi dichiaratamente contrapposti; e regole ancora aperte — è nella fase di scrittura che si influisce. Anticipa che torneremo su «chi fa pressione e dove» alla fine di ogni blocco.</w:t>
      </w:r>
    </w:p>
    <w:p>
      <w:pPr>
        <w:pStyle w:val="Heading1"/>
      </w:pPr>
      <w:r>
        <w:t xml:space="preserve">Parte 1 · Storia e mercato delle telco  (slide 4–12, ~25')</w:t>
      </w:r>
    </w:p>
    <w:p>
      <w:pPr>
        <w:spacing w:after="120" w:line="276"/>
      </w:pPr>
      <w:r>
        <w:t xml:space="preserve">Questa è la parte nuova e più «da economia industriale». L'obiettivo è far capire perché oggi le telco europee chiedono riforme: 25 anni di scelte regolatorie ed economiche hanno prodotto un settore competitivo per i prezzi ma fragile per gli investimenti. Procedi come una storia, con un nesso causale tra una slide e la successiva.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4  ·  </w:t>
      </w:r>
      <w:r>
        <w:rPr>
          <w:b/>
          <w:bCs/>
          <w:color w:val="0B2545"/>
          <w:sz w:val="20"/>
          <w:szCs w:val="20"/>
        </w:rPr>
        <w:t xml:space="preserve">Divider Parte 1</w:t>
      </w:r>
    </w:p>
    <w:p>
      <w:pPr>
        <w:spacing w:after="120" w:line="276"/>
      </w:pPr>
      <w:r>
        <w:t xml:space="preserve">Slide di passaggio. Una riga: cominciamo dalle reti, perché senza connettività non esiste né economia digitale né intelligenza artificiale — e perché la storia del settore spiega le riforme di oggi.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5  ·  </w:t>
      </w:r>
      <w:r>
        <w:rPr>
          <w:b/>
          <w:bCs/>
          <w:color w:val="0B2545"/>
          <w:sz w:val="20"/>
          <w:szCs w:val="20"/>
        </w:rPr>
        <w:t xml:space="preserve">Venticinque anni di telecomunicazioni — la timeline</w:t>
      </w:r>
    </w:p>
    <w:p>
      <w:pPr>
        <w:spacing w:after="120" w:line="276"/>
      </w:pPr>
      <w:r>
        <w:t xml:space="preserve">Dai la mappa d'insieme con quattro stagioni. 2000–05: la liberalizzazione mette fine ai monopoli pubblici e arrivano le aste 3G. 2005–12: la stagione della concorrenza e dell'unbundling, con prezzi in calo. 2012–18: esplodono i servizi internet e nel 2015 arriva la net neutrality. 2018–26: la migrazione alla fibra, il 5G e il nodo irrisolto degli investimenti. Di' che ora ripercorriamo queste tappe una per una.</w:t>
      </w:r>
    </w:p>
    <w:p>
      <w:pPr>
        <w:spacing w:after="120" w:line="264"/>
        <w:ind w:left="200"/>
      </w:pPr>
      <w:r>
        <w:rPr>
          <w:b/>
          <w:bCs/>
          <w:color w:val="B07A00"/>
          <w:sz w:val="19"/>
          <w:szCs w:val="19"/>
        </w:rPr>
        <w:t xml:space="preserve">▸ Spunto: </w:t>
      </w:r>
      <w:r>
        <w:rPr>
          <w:color w:val="333333"/>
          <w:sz w:val="19"/>
          <w:szCs w:val="19"/>
        </w:rPr>
        <w:t xml:space="preserve">Tieni la timeline come «filo rosso»: ogni slide successiva è uno zoom su una di queste stagioni.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6  ·  </w:t>
      </w:r>
      <w:r>
        <w:rPr>
          <w:b/>
          <w:bCs/>
          <w:color w:val="0B2545"/>
          <w:sz w:val="20"/>
          <w:szCs w:val="20"/>
        </w:rPr>
        <w:t xml:space="preserve">La scelta regolatoria europea: concorrenza</w:t>
      </w:r>
    </w:p>
    <w:p>
      <w:pPr>
        <w:spacing w:after="120" w:line="276"/>
      </w:pPr>
      <w:r>
        <w:t xml:space="preserve">Spiega la scelta di fondo dei regolatori: aprire i mercati e forzare la concorrenza. Lo strumento tecnico è l'unbundling — all'operatore storico (l'incumbent) è stato imposto di affittare la propria rete ai concorrenti a prezzi regolati. L'idea era la «scala degli investimenti»: i nuovi entranti partono affittando e poi, crescendo, costruiscono rete propria. Risultato doppio: un bene per i consumatori (prezzi giù, più scelta, più innovazione), ma un problema per le telco (margini compressi, ricavo per utente in calo, meno risorse da reinvestire). Questo è il primo seme della crisi degli investimenti.</w:t>
      </w:r>
    </w:p>
    <w:p>
      <w:pPr>
        <w:spacing w:after="120" w:line="264"/>
        <w:ind w:left="200"/>
      </w:pPr>
      <w:r>
        <w:rPr>
          <w:b/>
          <w:bCs/>
          <w:color w:val="B07A00"/>
          <w:sz w:val="19"/>
          <w:szCs w:val="19"/>
        </w:rPr>
        <w:t xml:space="preserve">▸ Spunto: </w:t>
      </w:r>
      <w:r>
        <w:rPr>
          <w:color w:val="333333"/>
          <w:sz w:val="19"/>
          <w:szCs w:val="19"/>
        </w:rPr>
        <w:t xml:space="preserve">Concetto chiave da pronunciare lentamente: «incumbent» e «unbundling». Sono il lessico base del settore.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7  ·  </w:t>
      </w:r>
      <w:r>
        <w:rPr>
          <w:b/>
          <w:bCs/>
          <w:color w:val="0B2545"/>
          <w:sz w:val="20"/>
          <w:szCs w:val="20"/>
        </w:rPr>
        <w:t xml:space="preserve">Il rovescio della medaglia: mercati iper-frammentati</w:t>
      </w:r>
    </w:p>
    <w:p>
      <w:pPr>
        <w:spacing w:after="120" w:line="276"/>
      </w:pPr>
      <w:r>
        <w:t xml:space="preserve">Qui arriva la diagnosi, con i numeri del Rapporto Draghi sulla competitività (2024). La concorrenza ha funzionato sui prezzi ma ha lasciato l'Europa con tanti operatori piccoli: 34 gruppi di reti mobili nell'UE, contro 3 negli Stati Uniti e 4 in Cina; 445 milioni di consumatori in un mercato che però non è davvero unico; investimenti pro capite circa la metà rispetto agli USA. Il messaggio del banner: ottimo per i consumatori, ma operatori troppo piccoli per reggere gli investimenti dei concorrenti globali. Da qui la spinta al consolidamento e a un mercato unico delle telecomunicazioni — tema che ritroveremo nel DNA.</w:t>
      </w:r>
    </w:p>
    <w:p>
      <w:pPr>
        <w:spacing w:after="120" w:line="264"/>
        <w:ind w:left="200"/>
      </w:pPr>
      <w:r>
        <w:rPr>
          <w:b/>
          <w:bCs/>
          <w:color w:val="B07A00"/>
          <w:sz w:val="19"/>
          <w:szCs w:val="19"/>
        </w:rPr>
        <w:t xml:space="preserve">▸ Spunto: </w:t>
      </w:r>
      <w:r>
        <w:rPr>
          <w:color w:val="333333"/>
          <w:sz w:val="19"/>
          <w:szCs w:val="19"/>
        </w:rPr>
        <w:t xml:space="preserve">Il dato «34 vs 3 vs 4» è quello che resta in mente: usalo come slogan della frammentazione.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8  ·  </w:t>
      </w:r>
      <w:r>
        <w:rPr>
          <w:b/>
          <w:bCs/>
          <w:color w:val="0B2545"/>
          <w:sz w:val="20"/>
          <w:szCs w:val="20"/>
        </w:rPr>
        <w:t xml:space="preserve">L'economia delle reti: capex vs opex</w:t>
      </w:r>
    </w:p>
    <w:p>
      <w:pPr>
        <w:spacing w:after="120" w:line="276"/>
      </w:pPr>
      <w:r>
        <w:t xml:space="preserve">Slide concettuale, da spiegare con calma perché regge tutto il ragionamento sul debito. Distingui due tipi di costo. Il CAPEX è la spesa in conto capitale: investimenti iniziali come scavi, posa della fibra, apparati, antenne, licenze sullo spettro — si pagano in anticipo e si ammortizzano su molti anni. L'OPEX sono i costi operativi correnti: energia, manutenzione, personale, affitti. Il punto cruciale, nel riquadro in basso: nelle reti di accesso — sia la fibra fino alle case sia le reti cellulari — il capex domina, perché bisogna cablare e coprire il territorio prima di avere clienti e ricavi. Enorme capitale anticipato più ritorni lenti (payback lungo) significa una sola cosa: si ricorre al debito.</w:t>
      </w:r>
    </w:p>
    <w:p>
      <w:pPr>
        <w:spacing w:after="120" w:line="264"/>
        <w:ind w:left="200"/>
      </w:pPr>
      <w:r>
        <w:rPr>
          <w:b/>
          <w:bCs/>
          <w:color w:val="B07A00"/>
          <w:sz w:val="19"/>
          <w:szCs w:val="19"/>
        </w:rPr>
        <w:t xml:space="preserve">▸ Spunto: </w:t>
      </w:r>
      <w:r>
        <w:rPr>
          <w:color w:val="333333"/>
          <w:sz w:val="19"/>
          <w:szCs w:val="19"/>
        </w:rPr>
        <w:t xml:space="preserve">Metafora utile: è come costruire l'autostrada prima di sapere quante auto passeranno — e pagarla tutta subito.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9  ·  </w:t>
      </w:r>
      <w:r>
        <w:rPr>
          <w:b/>
          <w:bCs/>
          <w:color w:val="0B2545"/>
          <w:sz w:val="20"/>
          <w:szCs w:val="20"/>
        </w:rPr>
        <w:t xml:space="preserve">La conseguenza: l'indebitamento delle telco</w:t>
      </w:r>
    </w:p>
    <w:p>
      <w:pPr>
        <w:spacing w:after="120" w:line="276"/>
      </w:pPr>
      <w:r>
        <w:t xml:space="preserve">Ora colleghi i puntini. Tre forze si sommano. Primo, le aste sullo spettro: le licenze 3G del 2000–01 costarono cifre enormi — circa 39 miliardi di euro nel Regno Unito, circa 50 in Germania, circa 14 in Italia — spesso pagate a debito. Secondo, il capex che non finisce mai: dopo il 3G il 4G, poi il 5G, poi la fibra; ogni generazione chiede nuovi investimenti prima dei ricavi. Terzo, i margini compressi dalla concorrenza, che lasciano poca cassa. Il circolo vizioso del banner: investire molto, guadagnare poco per utente, indebitarsi per restare in corsa. È lo sfondo economico di tutte le riforme che seguono.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10  ·  </w:t>
      </w:r>
      <w:r>
        <w:rPr>
          <w:b/>
          <w:bCs/>
          <w:color w:val="0B2545"/>
          <w:sz w:val="20"/>
          <w:szCs w:val="20"/>
        </w:rPr>
        <w:t xml:space="preserve">La migrazione alla fibra e il fallimento di mercato</w:t>
      </w:r>
    </w:p>
    <w:p>
      <w:pPr>
        <w:spacing w:after="120" w:line="276"/>
      </w:pPr>
      <w:r>
        <w:t xml:space="preserve">Spiega perché serve la fibra (FTTH): più capacità e minori costi di gestione rispetto al rame. Ma il mercato investe solo dove conviene. Da qui la mappa del territorio in tre tipi di aree: aree nere, dove più reti competono e il mercato fa da sé; aree grigie, con una sola rete e concorrenza limitata; aree bianche, vero fallimento di mercato, dove nessun privato investe e servono fondi pubblici. Chiudi con il caso italiano: il Piano Banda Ultra Larga, con fondi pubblici e gare nelle aree bianche e voucher per la domanda. Lo Stato interviene dove il mercato non arriva, nel rispetto delle regole UE sugli aiuti di Stato.</w:t>
      </w:r>
    </w:p>
    <w:p>
      <w:pPr>
        <w:spacing w:after="120" w:line="264"/>
        <w:ind w:left="200"/>
      </w:pPr>
      <w:r>
        <w:rPr>
          <w:b/>
          <w:bCs/>
          <w:color w:val="B07A00"/>
          <w:sz w:val="19"/>
          <w:szCs w:val="19"/>
        </w:rPr>
        <w:t xml:space="preserve">▸ Spunto: </w:t>
      </w:r>
      <w:r>
        <w:rPr>
          <w:color w:val="333333"/>
          <w:sz w:val="19"/>
          <w:szCs w:val="19"/>
        </w:rPr>
        <w:t xml:space="preserve">Collega al DNA: lo switch-off del rame (slide 19) è il capitolo più recente di questa stessa storia.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11  ·  </w:t>
      </w:r>
      <w:r>
        <w:rPr>
          <w:b/>
          <w:bCs/>
          <w:color w:val="0B2545"/>
          <w:sz w:val="20"/>
          <w:szCs w:val="20"/>
        </w:rPr>
        <w:t xml:space="preserve">Net neutrality (Reg. UE 2015/2120)</w:t>
      </w:r>
    </w:p>
    <w:p>
      <w:pPr>
        <w:spacing w:after="120" w:line="276"/>
      </w:pPr>
      <w:r>
        <w:t xml:space="preserve">Introduci una regola che pesa molto sull'economia delle telco. Dal 2015 un regolamento europeo sancisce la neutralità della rete: il traffico va trattato in modo non discriminatorio, a prescindere da contenuto, applicazione, mittente o destinatario. Presenta i due lati in modo equilibrato. Perché è importante: tutela utenti e piccoli innovatori, niente corsie preferenziali a pagamento né blocchi arbitrari, con vigilanza delle autorità nazionali (in Italia AGCOM). Cosa significa per le telco: non possono far pagare la priorità del traffico a chi lo genera, quindi è difficile monetizzare la differenziazione e la rete tende a diventare un «tubo». È l'antefatto diretto del dibattito sul fair share.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12  ·  </w:t>
      </w:r>
      <w:r>
        <w:rPr>
          <w:b/>
          <w:bCs/>
          <w:color w:val="0B2545"/>
          <w:sz w:val="20"/>
          <w:szCs w:val="20"/>
        </w:rPr>
        <w:t xml:space="preserve">Lo squilibrio di oggi: telco e hyperscaler</w:t>
      </w:r>
    </w:p>
    <w:p>
      <w:pPr>
        <w:spacing w:after="120" w:line="276"/>
      </w:pPr>
      <w:r>
        <w:t xml:space="preserve">Chiudi la parte storica con la fotografia del presente. Negli ultimi quindici anni il traffico è esploso, trainato da pochi grandi attori globali — gli hyperscaler e le grandi piattaforme di streaming, cloud e social. Ma il valore economico si è spostato a loro. Le telco trasportano volumi crescenti con ricavi piatti e rischiano di restare infrastruttura a basso valore (il «dumb pipe»); gli hyperscaler catturano la crescita, investono in proprie infrastrutture e valgono in Borsa molto di più. Il banner finale è il ponte verso la riforma: è da questo squilibrio che nascono la richiesta di fair share e la spinta al Digital Networks Act.</w:t>
      </w:r>
    </w:p>
    <w:p>
      <w:pPr>
        <w:spacing w:after="120" w:line="264"/>
        <w:ind w:left="200"/>
      </w:pPr>
      <w:r>
        <w:rPr>
          <w:b/>
          <w:bCs/>
          <w:color w:val="B07A00"/>
          <w:sz w:val="19"/>
          <w:szCs w:val="19"/>
        </w:rPr>
        <w:t xml:space="preserve">▸ Spunto: </w:t>
      </w:r>
      <w:r>
        <w:rPr>
          <w:color w:val="333333"/>
          <w:sz w:val="19"/>
          <w:szCs w:val="19"/>
        </w:rPr>
        <w:t xml:space="preserve">Frase di chiusura del blocco: «Abbiamo capito da dove veniamo e perché le telco chiedono di cambiare le regole. Ora vediamo cosa propone l'Europa.»</w:t>
      </w:r>
    </w:p>
    <w:p>
      <w:pPr>
        <w:pStyle w:val="Heading1"/>
      </w:pPr>
      <w:r>
        <w:t xml:space="preserve">Parte 1 · Digital Decade  (slide 13–16, ~12')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13  ·  </w:t>
      </w:r>
      <w:r>
        <w:rPr>
          <w:b/>
          <w:bCs/>
          <w:color w:val="0B2545"/>
          <w:sz w:val="20"/>
          <w:szCs w:val="20"/>
        </w:rPr>
        <w:t xml:space="preserve">Digital Decade — il programma 2030</w:t>
      </w:r>
    </w:p>
    <w:p>
      <w:pPr>
        <w:spacing w:after="120" w:line="276"/>
      </w:pPr>
      <w:r>
        <w:t xml:space="preserve">Su questo sfondo si innesta la bussola politica europea. Il Digital Decade (in vigore dal 2023) fissa obiettivi vincolanti e condivisi per la trasformazione digitale entro il 2030, con monitoraggio annuale Commissione–Stati membri. Quattro aree: competenze, infrastrutture, imprese, servizi pubblici. Gli obiettivi numerici servono anche come leva politica: chi è indietro deve giustificarsi e investire.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14  ·  </w:t>
      </w:r>
      <w:r>
        <w:rPr>
          <w:b/>
          <w:bCs/>
          <w:color w:val="0B2545"/>
          <w:sz w:val="20"/>
          <w:szCs w:val="20"/>
        </w:rPr>
        <w:t xml:space="preserve">Digital Decade — connettività</w:t>
      </w:r>
    </w:p>
    <w:p>
      <w:pPr>
        <w:spacing w:after="120" w:line="276"/>
      </w:pPr>
      <w:r>
        <w:t xml:space="preserve">Zoom sulle reti, pre-condizione di tutto. I target chiave: gigabit per tutte le famiglie, 5G ovunque, la corsa al 6G, le infrastrutture cloud/edge. Sono il riferimento politico che giustifica sia gli investimenti sia la nuova regolazione.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15  ·  </w:t>
      </w:r>
      <w:r>
        <w:rPr>
          <w:b/>
          <w:bCs/>
          <w:color w:val="0B2545"/>
          <w:sz w:val="20"/>
          <w:szCs w:val="20"/>
        </w:rPr>
        <w:t xml:space="preserve">State of the Digital Decade 2025 — l'Italia</w:t>
      </w:r>
    </w:p>
    <w:p>
      <w:pPr>
        <w:spacing w:after="120" w:line="276"/>
      </w:pPr>
      <w:r>
        <w:t xml:space="preserve">Mostra il grafico. Un'Italia a due velocità: benissimo sulla connettività (fibra in linea con la media UE, target 5G centrato già nel 2025), ma in forte ritardo su competenze digitali (45,8% contro media UE 55,6%) e digitalizzazione delle imprese, con appena l'8,2% che usa l'IA. Quadro che orienta priorità di spesa e attira chi vuole intercettare quei fondi.</w:t>
      </w:r>
    </w:p>
    <w:p>
      <w:pPr>
        <w:spacing w:after="120" w:line="264"/>
        <w:ind w:left="200"/>
      </w:pPr>
      <w:r>
        <w:rPr>
          <w:b/>
          <w:bCs/>
          <w:color w:val="B07A00"/>
          <w:sz w:val="19"/>
          <w:szCs w:val="19"/>
        </w:rPr>
        <w:t xml:space="preserve">▸ Spunto: </w:t>
      </w:r>
      <w:r>
        <w:rPr>
          <w:color w:val="333333"/>
          <w:sz w:val="19"/>
          <w:szCs w:val="19"/>
        </w:rPr>
        <w:t xml:space="preserve">Il numero 8,2% torna nella parte sugli investimenti IA in Italia: tienilo a mente.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16  ·  </w:t>
      </w:r>
      <w:r>
        <w:rPr>
          <w:b/>
          <w:bCs/>
          <w:color w:val="0B2545"/>
          <w:sz w:val="20"/>
          <w:szCs w:val="20"/>
        </w:rPr>
        <w:t xml:space="preserve">Tiriamo le fila — perché serve la riforma</w:t>
      </w:r>
    </w:p>
    <w:p>
      <w:pPr>
        <w:spacing w:after="120" w:line="276"/>
      </w:pPr>
      <w:r>
        <w:t xml:space="preserve">Slide-cerniera che riassume e lancia verso il DNA. Sei cause, molte già viste nella parte storica: mercato frammentato, investimenti insufficienti, gap competitivo con USA e Cina, reti legacy da dismettere, spettro disomogeneo, regole datate (il Codice europeo è del 2018). Tutte ragioni che la Commissione usa per giustificare la riforma.</w:t>
      </w:r>
    </w:p>
    <w:p>
      <w:pPr>
        <w:pStyle w:val="Heading1"/>
      </w:pPr>
      <w:r>
        <w:t xml:space="preserve">Parte 1 · Digital Networks Act  (slide 17–21, ~18')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17  ·  </w:t>
      </w:r>
      <w:r>
        <w:rPr>
          <w:b/>
          <w:bCs/>
          <w:color w:val="0B2545"/>
          <w:sz w:val="20"/>
          <w:szCs w:val="20"/>
        </w:rPr>
        <w:t xml:space="preserve">Digital Networks Act — la riforma del 21 gennaio 2026</w:t>
      </w:r>
    </w:p>
    <w:p>
      <w:pPr>
        <w:spacing w:after="120" w:line="276"/>
      </w:pPr>
      <w:r>
        <w:t xml:space="preserve">Il cuore del primo blocco. Il 21 gennaio 2026 la Commissione propone il DNA: un quadro unico, moderno e semplificato per la connettività. Idea-forza: la semplificazione — quattro atti normativi (Codice europeo delle comunicazioni, regolamento BEREC, programma sullo spettro, parti dell'open internet) confluiscono in un solo regolamento direttamente applicabile. Meno frammentazione, più scala, più investimenti.</w:t>
      </w:r>
    </w:p>
    <w:p>
      <w:pPr>
        <w:spacing w:after="120" w:line="264"/>
        <w:ind w:left="200"/>
      </w:pPr>
      <w:r>
        <w:rPr>
          <w:b/>
          <w:bCs/>
          <w:color w:val="B07A00"/>
          <w:sz w:val="19"/>
          <w:szCs w:val="19"/>
        </w:rPr>
        <w:t xml:space="preserve">▸ Spunto: </w:t>
      </w:r>
      <w:r>
        <w:rPr>
          <w:color w:val="333333"/>
          <w:sz w:val="19"/>
          <w:szCs w:val="19"/>
        </w:rPr>
        <w:t xml:space="preserve">Ricorda la differenza regolamento/direttiva: il regolamento si applica direttamente, senza recepimento — scelta politica verso l'armonizzazione.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18  ·  </w:t>
      </w:r>
      <w:r>
        <w:rPr>
          <w:b/>
          <w:bCs/>
          <w:color w:val="0B2545"/>
          <w:sz w:val="20"/>
          <w:szCs w:val="20"/>
        </w:rPr>
        <w:t xml:space="preserve">DNA — le novità principali</w:t>
      </w:r>
    </w:p>
    <w:p>
      <w:pPr>
        <w:spacing w:after="120" w:line="276"/>
      </w:pPr>
      <w:r>
        <w:t xml:space="preserve">Quattro novità: il «Single Passport» (autorizzazione unica con notifica in un solo Stato); lo spettro armonizzato (licenze anche illimitate, condivisione, «use it or share it»); la transizione rame-fibra con piani nazionali obbligatori; e la cooperazione di ecosistema, con linee guida BEREC e la «conciliazione volontaria» tra operatori e grandi generatori di traffico.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19  ·  </w:t>
      </w:r>
      <w:r>
        <w:rPr>
          <w:b/>
          <w:bCs/>
          <w:color w:val="0B2545"/>
          <w:sz w:val="20"/>
          <w:szCs w:val="20"/>
        </w:rPr>
        <w:t xml:space="preserve">DNA — lo switch-off del rame</w:t>
      </w:r>
    </w:p>
    <w:p>
      <w:pPr>
        <w:spacing w:after="120" w:line="276"/>
      </w:pPr>
      <w:r>
        <w:t xml:space="preserve">La parte socialmente più sensibile — e l'ultimo capitolo della storia delle reti di accesso. Spegnere il rame e migrare alla fibra tocca prezzi, accesso e zone meno redditizie. Il calendario: piani nazionali entro il 2029, attuazione tra 2030 e 2035, con tutele per i consumatori. Dietro le date, una partita enorme tra operatori, autorità e consumatori.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20  ·  </w:t>
      </w:r>
      <w:r>
        <w:rPr>
          <w:b/>
          <w:bCs/>
          <w:color w:val="0B2545"/>
          <w:sz w:val="20"/>
          <w:szCs w:val="20"/>
        </w:rPr>
        <w:t xml:space="preserve">DNA — il nodo del «fair share»</w:t>
      </w:r>
    </w:p>
    <w:p>
      <w:pPr>
        <w:spacing w:after="120" w:line="276"/>
      </w:pPr>
      <w:r>
        <w:t xml:space="preserve">Il conflitto di lobbying per eccellenza, che hai già anticipato nella parte storica. Gli operatori chiedono che i grandi generatori di traffico contribuiscano ai costi delle reti; le piattaforme rispondono che già investono in infrastrutture proprie e che un obbligo minaccerebbe la net neutrality. Punto chiave: la proposta NON introduce un obbligo di fair share, ma una conciliazione volontaria con regolatori e BEREC. La CCIA (grandi tech) parla di «regolazione mascherata».</w:t>
      </w:r>
    </w:p>
    <w:p>
      <w:pPr>
        <w:spacing w:after="120" w:line="264"/>
        <w:ind w:left="200"/>
      </w:pPr>
      <w:r>
        <w:rPr>
          <w:b/>
          <w:bCs/>
          <w:color w:val="B07A00"/>
          <w:sz w:val="19"/>
          <w:szCs w:val="19"/>
        </w:rPr>
        <w:t xml:space="preserve">▸ Spunto: </w:t>
      </w:r>
      <w:r>
        <w:rPr>
          <w:color w:val="333333"/>
          <w:sz w:val="19"/>
          <w:szCs w:val="19"/>
        </w:rPr>
        <w:t xml:space="preserve">Caso di lobbying da discutere: l'assenza di un obbligo esplicito di fair share è, di fatto, il risultato di una pressione efficace delle piattaforme.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21  ·  </w:t>
      </w:r>
      <w:r>
        <w:rPr>
          <w:b/>
          <w:bCs/>
          <w:color w:val="0B2545"/>
          <w:sz w:val="20"/>
          <w:szCs w:val="20"/>
        </w:rPr>
        <w:t xml:space="preserve">DNA — dove e quando si gioca la partita</w:t>
      </w:r>
    </w:p>
    <w:p>
      <w:pPr>
        <w:spacing w:after="120" w:line="276"/>
      </w:pPr>
      <w:r>
        <w:t xml:space="preserve">Chiudi col lato pratico. L'iter: proposta della Commissione, ora in co-decisione tra Parlamento e Consiglio; negoziato lungo, fatto di emendamenti e triloghi. Per le relazioni istituzionali: molte finestre di accesso (relatori del Parlamento, rappresentanze al Consiglio, BEREC, AGCOM) e la fase di emendamenti come momento chiave per incidere. A Roma il dossier pesa su fibra, rame e investimenti.</w:t>
      </w:r>
    </w:p>
    <w:p>
      <w:pPr>
        <w:pStyle w:val="Heading1"/>
      </w:pPr>
      <w:r>
        <w:t xml:space="preserve">Parte 2 · L'intelligenza artificiale  (slide 22–34, ~45')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22  ·  </w:t>
      </w:r>
      <w:r>
        <w:rPr>
          <w:b/>
          <w:bCs/>
          <w:color w:val="0B2545"/>
          <w:sz w:val="20"/>
          <w:szCs w:val="20"/>
        </w:rPr>
        <w:t xml:space="preserve">Divider Parte 2</w:t>
      </w:r>
    </w:p>
    <w:p>
      <w:pPr>
        <w:spacing w:after="120" w:line="276"/>
      </w:pPr>
      <w:r>
        <w:t xml:space="preserve">Slide di passaggio. Cambiamo tema ma non logica: anche sull'IA ci sono investimenti, regole e attori in conflitto.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23  ·  </w:t>
      </w:r>
      <w:r>
        <w:rPr>
          <w:b/>
          <w:bCs/>
          <w:color w:val="0B2545"/>
          <w:sz w:val="20"/>
          <w:szCs w:val="20"/>
        </w:rPr>
        <w:t xml:space="preserve">Investimenti in IA — la corsa europea</w:t>
      </w:r>
    </w:p>
    <w:p>
      <w:pPr>
        <w:spacing w:after="120" w:line="276"/>
      </w:pPr>
      <w:r>
        <w:t xml:space="preserve">Cornice geopolitica: l'IA è questione di sovranità e competitività, e l'Europa rincorre USA e Cina. Tre iniziative: l'AI Continent Action Plan (fare dell'Europa un «continente dell'IA»), InvestAI (summit di Parigi, feb. 2025, fino a 200 miliardi da mobilitare) e le AI Factories e Gigafactories, reti di supercalcolo per addestrare i modelli.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24  ·  </w:t>
      </w:r>
      <w:r>
        <w:rPr>
          <w:b/>
          <w:bCs/>
          <w:color w:val="0B2545"/>
          <w:sz w:val="20"/>
          <w:szCs w:val="20"/>
        </w:rPr>
        <w:t xml:space="preserve">I numeri degli investimenti</w:t>
      </w:r>
    </w:p>
    <w:p>
      <w:pPr>
        <w:spacing w:after="120" w:line="276"/>
      </w:pPr>
      <w:r>
        <w:t xml:space="preserve">Slide d'impatto: lascia parlare i numeri. 200 miliardi con InvestAI, 20 dedicati alle gigafactory, circa 230 di interesse privato, 19 AI factories già operative. Precisa che sono ordini di grandezza che combinano fondi pubblici, garanzie e investimenti privati attesi — non assegni firmati.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25  ·  </w:t>
      </w:r>
      <w:r>
        <w:rPr>
          <w:b/>
          <w:bCs/>
          <w:color w:val="0B2545"/>
          <w:sz w:val="20"/>
          <w:szCs w:val="20"/>
        </w:rPr>
        <w:t xml:space="preserve">L'Italia e l'IA</w:t>
      </w:r>
    </w:p>
    <w:p>
      <w:pPr>
        <w:spacing w:after="120" w:line="276"/>
      </w:pPr>
      <w:r>
        <w:t xml:space="preserve">Cala il tema in Italia. Strategia nazionale 2024–2026 (AgID e Dipartimento per la Trasformazione Digitale) che mobilita oltre 2 miliardi tra PNRR, fondi nazionali e cofinanziamenti; la legge 132/2025 istituisce un fondo da 1 miliardo per IA, cybersicurezza, quantum e TLC avanzate. Richiama l'8,2% di imprese che usano l'IA: questi strumenti servono a colmare quel ritardo.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26  ·  </w:t>
      </w:r>
      <w:r>
        <w:rPr>
          <w:b/>
          <w:bCs/>
          <w:color w:val="0B2545"/>
          <w:sz w:val="20"/>
          <w:szCs w:val="20"/>
        </w:rPr>
        <w:t xml:space="preserve">AI Act — il primo regolamento al mondo</w:t>
      </w:r>
    </w:p>
    <w:p>
      <w:pPr>
        <w:spacing w:after="120" w:line="276"/>
      </w:pPr>
      <w:r>
        <w:t xml:space="preserve">Il regolamento UE 2024/1689, in vigore dal 1° agosto 2024, primo al mondo. Concetto da fissare: approccio basato sul rischio — le regole non colpiscono la tecnologia in sé, ma sono proporzionate al rischio per diritti e sicurezza. Cita gli obblighi specifici per i modelli «general purpose» (GPAI).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27  ·  </w:t>
      </w:r>
      <w:r>
        <w:rPr>
          <w:b/>
          <w:bCs/>
          <w:color w:val="0B2545"/>
          <w:sz w:val="20"/>
          <w:szCs w:val="20"/>
        </w:rPr>
        <w:t xml:space="preserve">AI Act — la piramide del rischio</w:t>
      </w:r>
    </w:p>
    <w:p>
      <w:pPr>
        <w:spacing w:after="120" w:line="276"/>
      </w:pPr>
      <w:r>
        <w:t xml:space="preserve">Spiega la piramide dal basso: rischio minimo (la gran parte dei sistemi, nessun obbligo); rischio limitato (trasparenza, es. un chatbot deve dichiararsi); alto rischio (sanità, lavoro, istruzione, giustizia: obblighi rigorosi); rischio inaccettabile (pratiche vietate, come il social scoring, proibite dal febbraio 2025). È lo schema mentale per tutto il resto.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28  ·  </w:t>
      </w:r>
      <w:r>
        <w:rPr>
          <w:b/>
          <w:bCs/>
          <w:color w:val="0B2545"/>
          <w:sz w:val="20"/>
          <w:szCs w:val="20"/>
        </w:rPr>
        <w:t xml:space="preserve">AI Act — il calendario</w:t>
      </w:r>
    </w:p>
    <w:p>
      <w:pPr>
        <w:spacing w:after="120" w:line="276"/>
      </w:pPr>
      <w:r>
        <w:t xml:space="preserve">Punto spesso frainteso: l'AI Act si applica per tappe. Agosto 2024 entrata in vigore; febbraio 2025 i divieti; agosto 2025 i modelli general purpose; gli obblighi per l'alto rischio, previsti per il 2026, sono stati spostati avanti — il perché nella slide sul Digital Omnibus.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29  ·  </w:t>
      </w:r>
      <w:r>
        <w:rPr>
          <w:b/>
          <w:bCs/>
          <w:color w:val="0B2545"/>
          <w:sz w:val="20"/>
          <w:szCs w:val="20"/>
        </w:rPr>
        <w:t xml:space="preserve">AI Act — le sanzioni</w:t>
      </w:r>
    </w:p>
    <w:p>
      <w:pPr>
        <w:spacing w:after="120" w:line="276"/>
      </w:pPr>
      <w:r>
        <w:t xml:space="preserve">Come per il GDPR, le sanzioni sono il motore della conformità: fino a 35 milioni o il 7% del fatturato mondiale per le violazioni più gravi; fino a 15 milioni o il 3% per l'alto rischio. Spiegano perché le imprese seguono il dossier — e investono in lobbying.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30  ·  </w:t>
      </w:r>
      <w:r>
        <w:rPr>
          <w:b/>
          <w:bCs/>
          <w:color w:val="0B2545"/>
          <w:sz w:val="20"/>
          <w:szCs w:val="20"/>
        </w:rPr>
        <w:t xml:space="preserve">Digital Omnibus — la semplificazione</w:t>
      </w:r>
    </w:p>
    <w:p>
      <w:pPr>
        <w:spacing w:after="120" w:line="276"/>
      </w:pPr>
      <w:r>
        <w:t xml:space="preserve">Notizia recente. Il 19 novembre 2025 la Commissione presenta il Digital Omnibus per semplificare il quadro digitale. Sull'IA, novità principale: il rinvio di molti obblighi sull'alto rischio (Allegato III a dicembre 2027, prodotti dell'Allegato I ad agosto 2028) perché standard e strumenti non erano pronti. Restano fermi i divieti dal febbraio 2025. Il 7 maggio 2026 accordo provvisorio di Consiglio e Parlamento. Lettura per voi: anche la semplificazione è terreno di lobbying.</w:t>
      </w:r>
    </w:p>
    <w:p>
      <w:pPr>
        <w:spacing w:after="120" w:line="264"/>
        <w:ind w:left="200"/>
      </w:pPr>
      <w:r>
        <w:rPr>
          <w:b/>
          <w:bCs/>
          <w:color w:val="B07A00"/>
          <w:sz w:val="19"/>
          <w:szCs w:val="19"/>
        </w:rPr>
        <w:t xml:space="preserve">▸ Spunto: </w:t>
      </w:r>
      <w:r>
        <w:rPr>
          <w:color w:val="333333"/>
          <w:sz w:val="19"/>
          <w:szCs w:val="19"/>
        </w:rPr>
        <w:t xml:space="preserve">Domanda da girare all'aula: semplificare aiuta la competitività o indebolisce i diritti? È il tipo di dibattito su cui lavora un lobbista.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31  ·  </w:t>
      </w:r>
      <w:r>
        <w:rPr>
          <w:b/>
          <w:bCs/>
          <w:color w:val="0B2545"/>
          <w:sz w:val="20"/>
          <w:szCs w:val="20"/>
        </w:rPr>
        <w:t xml:space="preserve">Legge 132/2025 — la legge italiana sull'IA</w:t>
      </w:r>
    </w:p>
    <w:p>
      <w:pPr>
        <w:spacing w:after="120" w:line="276"/>
      </w:pPr>
      <w:r>
        <w:t xml:space="preserve">Livello nazionale. L'Italia è tra i primi Paesi UE con una legge organica: la legge 23 settembre 2025 n. 132, in vigore dal 10 ottobre 2025. Legge-quadro con deleghe: fissa principi e rinvia a decreti attuativi per dettagli, vigilanza e sanzioni. Si coordina con l'AI Act. Principi: trasparenza, proporzionalità, non discriminazione, tutela di dati e diritti, e centralità della persona — la decisione resta umana.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32  ·  </w:t>
      </w:r>
      <w:r>
        <w:rPr>
          <w:b/>
          <w:bCs/>
          <w:color w:val="0B2545"/>
          <w:sz w:val="20"/>
          <w:szCs w:val="20"/>
        </w:rPr>
        <w:t xml:space="preserve">Legge 132/2025 — gli ambiti settoriali</w:t>
      </w:r>
    </w:p>
    <w:p>
      <w:pPr>
        <w:spacing w:after="120" w:line="276"/>
      </w:pPr>
      <w:r>
        <w:t xml:space="preserve">La legge entra nei settori. Sanità: l'IA supporta ma non discrimina e la decisione resta del medico. Lavoro: deve migliorare le condizioni, mai diventare controllo. Professioni intellettuali: solo supporto, con prevalenza del lavoro umano. PA: più efficienza, ma la responsabilità del provvedimento resta della persona. Filo comune: l'IA assiste, l'essere umano risponde.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33  ·  </w:t>
      </w:r>
      <w:r>
        <w:rPr>
          <w:b/>
          <w:bCs/>
          <w:color w:val="0B2545"/>
          <w:sz w:val="20"/>
          <w:szCs w:val="20"/>
        </w:rPr>
        <w:t xml:space="preserve">Legge 132/2025 — le altre novità</w:t>
      </w:r>
    </w:p>
    <w:p>
      <w:pPr>
        <w:spacing w:after="120" w:line="276"/>
      </w:pPr>
      <w:r>
        <w:t xml:space="preserve">Tre punti che fanno notizia. Un nuovo reato: l'art. 612-quater c.p. punisce con la reclusione da 1 a 5 anni chi diffonde deepfake ingannevoli senza consenso. Il diritto d'autore: le opere create con l'IA sono tutelate solo se c'è creatività umana, regolata l'estrazione di testi e dati. E l'attenzione alla cultura dell'IA, più governance e fondo da 1 miliardo.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34  ·  </w:t>
      </w:r>
      <w:r>
        <w:rPr>
          <w:b/>
          <w:bCs/>
          <w:color w:val="0B2545"/>
          <w:sz w:val="20"/>
          <w:szCs w:val="20"/>
        </w:rPr>
        <w:t xml:space="preserve">Come si incastrano i livelli</w:t>
      </w:r>
    </w:p>
    <w:p>
      <w:pPr>
        <w:spacing w:after="120" w:line="276"/>
      </w:pPr>
      <w:r>
        <w:t xml:space="preserve">Sintesi del secondo blocco. Tre piani sovrapposti: l'AI Act europeo (base direttamente applicabile), il Digital Omnibus (semplifica e rinvia, senza stravolgere), la legge italiana 132/2025 (cala tutto nel contesto nazionale). Fotografia di come una stessa materia viva su più livelli — e di quanti punti di contatto offra a chi fa relazioni istituzionali.</w:t>
      </w:r>
    </w:p>
    <w:p>
      <w:pPr>
        <w:pStyle w:val="Heading1"/>
      </w:pPr>
      <w:r>
        <w:t xml:space="preserve">Chiusura  (slide 35–36, ~10')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35  ·  </w:t>
      </w:r>
      <w:r>
        <w:rPr>
          <w:b/>
          <w:bCs/>
          <w:color w:val="0B2545"/>
          <w:sz w:val="20"/>
          <w:szCs w:val="20"/>
        </w:rPr>
        <w:t xml:space="preserve">In sintesi — i tre fili comuni</w:t>
      </w:r>
    </w:p>
    <w:p>
      <w:pPr>
        <w:spacing w:after="120" w:line="276"/>
      </w:pPr>
      <w:r>
        <w:t xml:space="preserve">Tre messaggi che attraversano entrambi i blocchi. Sovranità e competizione: reti e IA sono sovranità tecnologica, l'Europa rincorre con investimenti e regole comuni. La tensione tra semplificazione e tutele, da DNA a Digital Omnibus. E lo spazio del lobbying: testi aperti, più livelli, interessi contrapposti — terreno ideale per le relazioni istituzionali.</w:t>
      </w:r>
    </w:p>
    <w:p>
      <w:pPr>
        <w:pBdr>
          <w:left w:val="single" w:color="0E7C7B" w:sz="18" w:space="8"/>
        </w:pBdr>
        <w:spacing w:after="80" w:before="200"/>
      </w:pPr>
      <w:r>
        <w:rPr>
          <w:b/>
          <w:bCs/>
          <w:color w:val="0E7C7B"/>
          <w:sz w:val="20"/>
          <w:szCs w:val="20"/>
        </w:rPr>
        <w:t xml:space="preserve">SLIDE 36  ·  </w:t>
      </w:r>
      <w:r>
        <w:rPr>
          <w:b/>
          <w:bCs/>
          <w:color w:val="0B2545"/>
          <w:sz w:val="20"/>
          <w:szCs w:val="20"/>
        </w:rPr>
        <w:t xml:space="preserve">Grazie — domande</w:t>
      </w:r>
    </w:p>
    <w:p>
      <w:pPr>
        <w:spacing w:after="120" w:line="276"/>
      </w:pPr>
      <w:r>
        <w:t xml:space="preserve">Apri la discussione. Se serve uno stimolo, riprendi una domanda lasciata aperta: il fair share, o il bilanciamento tra semplificazione e diritti nel Digital Omnibus.</w:t>
      </w:r>
    </w:p>
    <w:p>
      <w:pPr>
        <w:pBdr>
          <w:top w:val="single" w:color="C9D6E3" w:sz="4" w:space="6"/>
        </w:pBdr>
        <w:spacing w:after="60" w:before="200"/>
      </w:pPr>
      <w:r>
        <w:rPr>
          <w:b/>
          <w:bCs/>
          <w:color w:val="0B2545"/>
          <w:sz w:val="22"/>
          <w:szCs w:val="22"/>
        </w:rPr>
        <w:t xml:space="preserve">Possibili domande dall'aula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«Perché non si fanno fusioni tra le telco europee?» — È il cuore del dibattito post-Rapporto Draghi: il consolidamento darebbe scala, ma le autorità di concorrenza hanno storicamente preferito tutelare il numero di operatori e i prezzi bassi. Il DNA prova a riequilibrare.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«Il fair share tornerà?» — Non c'è un obbligo nel DNA, ma il meccanismo di conciliazione volontaria lascia la porta socchiusa: dipenderà dal negoziato e dalla pressione delle parti.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«Net neutrality e fair share sono in contrasto?» — In parte sì: far pagare la priorità del traffico è ciò che la net neutrality limita. È una delle ragioni per cui il dibattito è così acceso.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«La legge italiana può andare oltre l'AI Act?» — Su molti aspetti il regolamento UE prevale ed è direttamente applicabile; la legge nazionale agisce dove c'è spazio (ambiti settoriali, penale, governance) e con i decreti delegati.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«Perché rinviare gli obblighi sull'alto rischio?» — Mancavano standard tecnici e strumenti di supporto; il rinvio dà tempo a imprese e autorità, ma è criticato da chi teme un indebolimento delle tutele.</w:t>
      </w:r>
    </w:p>
    <w:p>
      <w:pPr>
        <w:spacing w:after="60" w:before="220"/>
      </w:pPr>
      <w:r>
        <w:rPr>
          <w:b/>
          <w:bCs/>
          <w:color w:val="0B2545"/>
          <w:sz w:val="22"/>
          <w:szCs w:val="22"/>
        </w:rPr>
        <w:t xml:space="preserve">Fonti principali</w:t>
      </w:r>
    </w:p>
    <w:p>
      <w:pPr>
        <w:spacing w:after="120" w:line="276"/>
      </w:pPr>
      <w:r>
        <w:rPr>
          <w:color w:val="333333"/>
          <w:sz w:val="19"/>
          <w:szCs w:val="19"/>
        </w:rPr>
        <w:t xml:space="preserve">Commissione europea — Shaping Europe's digital future (Digital Decade, Digital Networks Act, AI Act, Digital Omnibus, AI Continent Action Plan); State of the Digital Decade 2025 e Italy 2025 Country Report; Rapporto Draghi sulla competitività europea (2024); Regolamento (UE) 2015/2120 (net neutrality); Regolamento (UE) 2024/1689 (AI Act); Legge 23 settembre 2025, n. 132; Strategia italiana per l'IA 2024–2026 (AgID). Dati e date aggiornati a giugno 2026.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F"/>
        <w:sz w:val="16"/>
        <w:szCs w:val="16"/>
      </w:rPr>
      <w:t xml:space="preserve">Traccia lezione LUMSA — 6 giugno 2026   ·   pag. </w:t>
    </w:r>
    <w:r>
      <w:rPr>
        <w:color w:val="5B6B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7B" w:sz="4" w:space="4"/>
      </w:pBdr>
      <w:spacing w:after="140" w:before="280"/>
      <w:outlineLvl w:val="0"/>
    </w:pPr>
    <w:rPr>
      <w:rFonts w:ascii="Calibri" w:cs="Calibri" w:eastAsia="Calibri" w:hAnsi="Calibri"/>
      <w:b/>
      <w:bCs/>
      <w:color w:val="0B2545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1B496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2026-06-06T08:25:08.524Z</dcterms:created>
  <dcterms:modified xsi:type="dcterms:W3CDTF">2026-06-06T08:25:08.524Z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