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31.png" ContentType="image/png"/>
  <Override PartName="/word/media/rId40.png" ContentType="image/png"/>
  <Override PartName="/word/media/rId55.png" ContentType="image/png"/>
  <Override PartName="/word/media/rId6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FringeIsland</w:t>
      </w:r>
    </w:p>
    <w:p>
      <w:pPr>
        <w:pStyle w:val="Subtitle"/>
      </w:pPr>
      <w:r>
        <w:t xml:space="preserve">How we work</w:t>
      </w:r>
    </w:p>
    <w:p>
      <w:pPr>
        <w:pStyle w:val="FirstParagraph"/>
      </w:pPr>
      <w:r>
        <w:t xml:space="preserve">The FringeIsland development system — four axes, five diagrams, twenty-seven flagged gaps. Authored 2026-04-19. Revision 4 — updated 2026-06-10 against the canonical sources. Living document — updated when canonical sources change.</w:t>
      </w:r>
    </w:p>
    <w:p>
      <w:pPr>
        <w:pStyle w:val="BodyText"/>
      </w:pPr>
      <w:r>
        <w:drawing>
          <wp:inline>
            <wp:extent cx="5760720" cy="3231240"/>
            <wp:effectExtent b="0" l="0" r="0" t="0"/>
            <wp:docPr descr="" title="" id="20" name="Picture"/>
            <a:graphic>
              <a:graphicData uri="http://schemas.openxmlformats.org/drawingml/2006/picture">
                <pic:pic>
                  <pic:nvPicPr>
                    <pic:cNvPr descr="C:/Users/stefa/AppData/Local/Temp/fi_docx_v3_extract2/word/media/image1.png" id="21" name="Picture"/>
                    <pic:cNvPicPr>
                      <a:picLocks noChangeArrowheads="1" noChangeAspect="1"/>
                    </pic:cNvPicPr>
                  </pic:nvPicPr>
                  <pic:blipFill>
                    <a:blip r:embed="rId19"/>
                    <a:stretch>
                      <a:fillRect/>
                    </a:stretch>
                  </pic:blipFill>
                  <pic:spPr bwMode="auto">
                    <a:xfrm>
                      <a:off x="0" y="0"/>
                      <a:ext cx="5760720" cy="3231240"/>
                    </a:xfrm>
                    <a:prstGeom prst="rect">
                      <a:avLst/>
                    </a:prstGeom>
                    <a:noFill/>
                    <a:ln w="9525">
                      <a:noFill/>
                      <a:headEnd/>
                      <a:tailEnd/>
                    </a:ln>
                  </pic:spPr>
                </pic:pic>
              </a:graphicData>
            </a:graphic>
          </wp:inline>
        </w:drawing>
      </w:r>
    </w:p>
    <w:bookmarkStart w:id="22" w:name="overview"/>
    <w:p>
      <w:pPr>
        <w:pStyle w:val="Heading1"/>
      </w:pPr>
      <w:r>
        <w:t xml:space="preserve">Overview</w:t>
      </w:r>
    </w:p>
    <w:p>
      <w:pPr>
        <w:pStyle w:val="FirstParagraph"/>
      </w:pPr>
      <w:r>
        <w:t xml:space="preserve">This document describes how FringeIsland is actually developed — end-to-end, from ecosystem purpose down to the shipped code. It has two purposes: a self-orientation aid for the sole developer, and onboarding material for future contributors.</w:t>
      </w:r>
    </w:p>
    <w:p>
      <w:pPr>
        <w:pStyle w:val="BodyText"/>
      </w:pPr>
      <w:r>
        <w:t xml:space="preserve">The development system has four axes. Each axis is described in its own chapter with a diagram and prose. You can read them in any order, but the order below is the one that builds understanding fastest.</w:t>
      </w:r>
    </w:p>
    <w:p>
      <w:pPr>
        <w:pStyle w:val="BodyText"/>
      </w:pPr>
      <w:r>
        <w:t xml:space="preserve">Chapters</w:t>
      </w:r>
    </w:p>
    <w:p>
      <w:pPr>
        <w:pStyle w:val="Compact"/>
        <w:numPr>
          <w:ilvl w:val="0"/>
          <w:numId w:val="1001"/>
        </w:numPr>
      </w:pPr>
      <w:r>
        <w:t xml:space="preserve">Chapter 1 — Decomposition cascade. How work descends from ecosystem vision down to individual tasks. The vertical axis.</w:t>
      </w:r>
    </w:p>
    <w:p>
      <w:pPr>
        <w:pStyle w:val="Compact"/>
        <w:numPr>
          <w:ilvl w:val="0"/>
          <w:numId w:val="1001"/>
        </w:numPr>
      </w:pPr>
      <w:r>
        <w:t xml:space="preserve">Chapter 2 — Cadence and waves. How time is structured. Cycles, cooldowns, retros, the six waves. The horizontal axis.</w:t>
      </w:r>
    </w:p>
    <w:p>
      <w:pPr>
        <w:pStyle w:val="Compact"/>
        <w:numPr>
          <w:ilvl w:val="0"/>
          <w:numId w:val="1001"/>
        </w:numPr>
      </w:pPr>
      <w:r>
        <w:t xml:space="preserve">Chapter 3 — Execution: backlog and kanban. How items move through refinement into an active cycle board.</w:t>
      </w:r>
    </w:p>
    <w:p>
      <w:pPr>
        <w:pStyle w:val="Compact"/>
        <w:numPr>
          <w:ilvl w:val="0"/>
          <w:numId w:val="1001"/>
        </w:numPr>
      </w:pPr>
      <w:r>
        <w:t xml:space="preserve">Chapter 4 — Execution: the build loop. What happens when a task is being worked on. Research, plan, annotate, implement. BDD and TDD.</w:t>
      </w:r>
    </w:p>
    <w:p>
      <w:pPr>
        <w:pStyle w:val="Compact"/>
        <w:numPr>
          <w:ilvl w:val="0"/>
          <w:numId w:val="1001"/>
        </w:numPr>
      </w:pPr>
      <w:r>
        <w:t xml:space="preserve">Chapter 5 — Agent routing. How an agent or human enters the system and builds context. The routing axis that wraps everything else.</w:t>
      </w:r>
    </w:p>
    <w:p>
      <w:pPr>
        <w:pStyle w:val="Compact"/>
        <w:numPr>
          <w:ilvl w:val="0"/>
          <w:numId w:val="1001"/>
        </w:numPr>
      </w:pPr>
      <w:r>
        <w:t xml:space="preserve">Consolidated gaps register. Twenty-seven flagged gaps across the four axes plus a documentation-hygiene cluster, grouped and prioritised.</w:t>
      </w:r>
    </w:p>
    <w:p>
      <w:pPr>
        <w:pStyle w:val="FirstParagraph"/>
      </w:pPr>
      <w:r>
        <w:t xml:space="preserve">On gaps</w:t>
      </w:r>
    </w:p>
    <w:p>
      <w:pPr>
        <w:pStyle w:val="BodyText"/>
      </w:pPr>
      <w:r>
        <w:t xml:space="preserve">The system has known documentation and design gaps. They are flagged inline in each chapter and consolidated at the end of the document. The canonical register lives at</w:t>
      </w:r>
      <w:r>
        <w:t xml:space="preserve"> </w:t>
      </w:r>
      <w:r>
        <w:rPr>
          <w:rStyle w:val="VerbatimChar"/>
        </w:rPr>
        <w:t xml:space="preserve">docs/ecosystem/how-we-work/gaps.md</w:t>
      </w:r>
      <w:r>
        <w:t xml:space="preserve">; the register in this document is a snapshot view of it. The gaps are surfaced honestly because the primary audience for this document is using it to spot what is missing. Future contributors should treat the gap list as a to-do, not a stable description of the system.</w:t>
      </w:r>
    </w:p>
    <w:p>
      <w:pPr>
        <w:pStyle w:val="BodyText"/>
      </w:pPr>
      <w:r>
        <w:t xml:space="preserve">As of this revision (2026-06-10), there are twenty-seven flagged gaps. Gap IDs are monotonic — closed IDs (G-08, G-21, G-24, G-26, G-31, G-33) are retired, not reused. None of the open gaps is blocking current solo-operator work. All of them compound as the system scales toward the fifty-plus-contributor target.</w:t>
      </w:r>
    </w:p>
    <w:p>
      <w:pPr>
        <w:pStyle w:val="BodyText"/>
      </w:pPr>
      <w:r>
        <w:t xml:space="preserve">What changed in revision 4</w:t>
      </w:r>
    </w:p>
    <w:p>
      <w:pPr>
        <w:pStyle w:val="Compact"/>
        <w:numPr>
          <w:ilvl w:val="0"/>
          <w:numId w:val="1002"/>
        </w:numPr>
      </w:pPr>
      <w:r>
        <w:t xml:space="preserve">The gaps register grew from seventeen to twenty-seven open gaps (G-19 through G-32 registered since revision 3; G-21 closed in this revision’s housekeeping pass — its maintenance discipline is now implemented in the feature-development and doc-health-check skills; G-24, G-26, G-31, and G-33 were registered and closed in earlier sessions).</w:t>
      </w:r>
    </w:p>
    <w:p>
      <w:pPr>
        <w:pStyle w:val="Compact"/>
        <w:numPr>
          <w:ilvl w:val="0"/>
          <w:numId w:val="1002"/>
        </w:numPr>
      </w:pPr>
      <w:r>
        <w:t xml:space="preserve">The L2 entity model was locked by four new ADRs: products as equipment profiles with the Game as depth (ADR-U025), the studios nested under Universe Studio with World Studio added (ADR-U026), the Shadow identity lifecycle (ADR-U027), and governance by scope (ADR-U028).</w:t>
      </w:r>
    </w:p>
    <w:p>
      <w:pPr>
        <w:pStyle w:val="Compact"/>
        <w:numPr>
          <w:ilvl w:val="0"/>
          <w:numId w:val="1002"/>
        </w:numPr>
      </w:pPr>
      <w:r>
        <w:t xml:space="preserve">The agent-context cascade grew from five tier CLAUDE.md files to a five-level cascade (root → tier → sub-tier → entity → sub-entity) of twenty CLAUDE.md files under</w:t>
      </w:r>
      <w:r>
        <w:t xml:space="preserve"> </w:t>
      </w:r>
      <w:r>
        <w:rPr>
          <w:rStyle w:val="VerbatimChar"/>
        </w:rPr>
        <w:t xml:space="preserve">docs/</w:t>
      </w:r>
      <w:r>
        <w:t xml:space="preserve">, governed by a five-row content policy in root CLAUDE.md and verified by the doc-health-check skill (Section 9).</w:t>
      </w:r>
    </w:p>
    <w:p>
      <w:pPr>
        <w:pStyle w:val="Compact"/>
        <w:numPr>
          <w:ilvl w:val="0"/>
          <w:numId w:val="1002"/>
        </w:numPr>
      </w:pPr>
      <w:r>
        <w:t xml:space="preserve">VISION.md was revised: the Whisp is now canonically the FIM’s own inner dialogue (see the beings core under</w:t>
      </w:r>
      <w:r>
        <w:t xml:space="preserve"> </w:t>
      </w:r>
      <w:r>
        <w:rPr>
          <w:rStyle w:val="VerbatimChar"/>
        </w:rPr>
        <w:t xml:space="preserve">docs/ecosystem/universe/</w:t>
      </w:r>
      <w:r>
        <w:t xml:space="preserve">). Its L2 placement gap (G-01) remains open.</w:t>
      </w:r>
    </w:p>
    <w:p>
      <w:pPr>
        <w:pStyle w:val="Compact"/>
        <w:numPr>
          <w:ilvl w:val="0"/>
          <w:numId w:val="1002"/>
        </w:numPr>
      </w:pPr>
      <w:r>
        <w:t xml:space="preserve">Vertical specs are now one</w:t>
      </w:r>
      <w:r>
        <w:t xml:space="preserve"> </w:t>
      </w:r>
      <w:r>
        <w:rPr>
          <w:rStyle w:val="VerbatimChar"/>
        </w:rPr>
        <w:t xml:space="preserve">SPECIFICATION.md</w:t>
      </w:r>
      <w:r>
        <w:t xml:space="preserve"> </w:t>
      </w:r>
      <w:r>
        <w:t xml:space="preserve">per vertical folder (</w:t>
      </w:r>
      <w:r>
        <w:rPr>
          <w:rStyle w:val="VerbatimChar"/>
        </w:rPr>
        <w:t xml:space="preserve">docs/verticals/{vertical}/SPECIFICATION.md</w:t>
      </w:r>
      <w:r>
        <w:t xml:space="preserve">), folding L2 and L3 content into a single file.</w:t>
      </w:r>
    </w:p>
    <w:bookmarkEnd w:id="22"/>
    <w:bookmarkStart w:id="30" w:name="the-decomposition-cascade"/>
    <w:p>
      <w:pPr>
        <w:pStyle w:val="Heading1"/>
      </w:pPr>
      <w:r>
        <w:t xml:space="preserve">1 — The decomposition cascade</w:t>
      </w:r>
    </w:p>
    <w:p>
      <w:pPr>
        <w:pStyle w:val="FirstParagraph"/>
      </w:pPr>
      <w:r>
        <w:t xml:space="preserve">The vertical axis. How work descends from ecosystem purpose down to the tasks that ship code. Five levels, five verticals threading through every level, seven unresolved gaps.</w:t>
      </w:r>
    </w:p>
    <w:p>
      <w:pPr>
        <w:pStyle w:val="BodyText"/>
      </w:pPr>
      <w:r>
        <w:drawing>
          <wp:inline>
            <wp:extent cx="5760720" cy="6777317"/>
            <wp:effectExtent b="0" l="0" r="0" t="0"/>
            <wp:docPr descr="" title="" id="24" name="Picture"/>
            <a:graphic>
              <a:graphicData uri="http://schemas.openxmlformats.org/drawingml/2006/picture">
                <pic:pic>
                  <pic:nvPicPr>
                    <pic:cNvPr descr="C:/Users/stefa/AppData/Local/Temp/fi_docx_v3_extract2/word/media/image2.png" id="25" name="Picture"/>
                    <pic:cNvPicPr>
                      <a:picLocks noChangeArrowheads="1" noChangeAspect="1"/>
                    </pic:cNvPicPr>
                  </pic:nvPicPr>
                  <pic:blipFill>
                    <a:blip r:embed="rId23"/>
                    <a:stretch>
                      <a:fillRect/>
                    </a:stretch>
                  </pic:blipFill>
                  <pic:spPr bwMode="auto">
                    <a:xfrm>
                      <a:off x="0" y="0"/>
                      <a:ext cx="5760720" cy="6777317"/>
                    </a:xfrm>
                    <a:prstGeom prst="rect">
                      <a:avLst/>
                    </a:prstGeom>
                    <a:noFill/>
                    <a:ln w="9525">
                      <a:noFill/>
                      <a:headEnd/>
                      <a:tailEnd/>
                    </a:ln>
                  </pic:spPr>
                </pic:pic>
              </a:graphicData>
            </a:graphic>
          </wp:inline>
        </w:drawing>
      </w:r>
    </w:p>
    <w:bookmarkStart w:id="26" w:name="what-this-shows"/>
    <w:p>
      <w:pPr>
        <w:pStyle w:val="Heading2"/>
      </w:pPr>
      <w:r>
        <w:t xml:space="preserve">What this shows</w:t>
      </w:r>
    </w:p>
    <w:p>
      <w:pPr>
        <w:pStyle w:val="FirstParagraph"/>
      </w:pPr>
      <w:r>
        <w:t xml:space="preserve">Work in FringeIsland lives in a five-level hierarchy. The same idea moves down the levels as it matures — vision-level questions become entities, entities become capabilities, capabilities become features, features become tasks. Each level answers a different question at a different frequency.</w:t>
      </w:r>
    </w:p>
    <w:p>
      <w:pPr>
        <w:pStyle w:val="Compact"/>
        <w:numPr>
          <w:ilvl w:val="0"/>
          <w:numId w:val="1003"/>
        </w:numPr>
      </w:pPr>
      <w:r>
        <w:t xml:space="preserve">L1 — Vision. Why does this ecosystem exist? docs/ecosystem/VISION.md.</w:t>
      </w:r>
    </w:p>
    <w:p>
      <w:pPr>
        <w:pStyle w:val="Compact"/>
        <w:numPr>
          <w:ilvl w:val="0"/>
          <w:numId w:val="1003"/>
        </w:numPr>
      </w:pPr>
      <w:r>
        <w:t xml:space="preserve">L2 — Entities. What are we building and for whom? Products, platform, studios, design system, verticals.</w:t>
      </w:r>
    </w:p>
    <w:p>
      <w:pPr>
        <w:pStyle w:val="Compact"/>
        <w:numPr>
          <w:ilvl w:val="0"/>
          <w:numId w:val="1003"/>
        </w:numPr>
      </w:pPr>
      <w:r>
        <w:t xml:space="preserve">L3 — Capabilities. What capabilities are needed, who owns them, what depends on what? The most-skipped level.</w:t>
      </w:r>
    </w:p>
    <w:p>
      <w:pPr>
        <w:pStyle w:val="Compact"/>
        <w:numPr>
          <w:ilvl w:val="0"/>
          <w:numId w:val="1003"/>
        </w:numPr>
      </w:pPr>
      <w:r>
        <w:t xml:space="preserve">L4 — Features. How is each capability specified? Stories with Given/When/Then live inside feature specs.</w:t>
      </w:r>
    </w:p>
    <w:p>
      <w:pPr>
        <w:pStyle w:val="Compact"/>
        <w:numPr>
          <w:ilvl w:val="0"/>
          <w:numId w:val="1003"/>
        </w:numPr>
      </w:pPr>
      <w:r>
        <w:t xml:space="preserve">L5 — Tasks. What implementation work is needed? Ephemeral — deleted after the cycle retrospective.</w:t>
      </w:r>
    </w:p>
    <w:p>
      <w:pPr>
        <w:pStyle w:val="FirstParagraph"/>
      </w:pPr>
      <w:r>
        <w:t xml:space="preserve">A single feature spec file carries the feature from maturity 0-raw all the way to 6-done. The state is tracked in YAML frontmatter, not by which folder the file lives in.</w:t>
      </w:r>
    </w:p>
    <w:p>
      <w:pPr>
        <w:pStyle w:val="BodyText"/>
      </w:pPr>
      <w:r>
        <w:t xml:space="preserve">Since revision 3, the L2 entity model has been locked by four ADRs: products are equipment profiles with the Game as the depth dimension (ADR-U025); the three studios — World, Arc, Journey — are nested under Universe Studio (ADR-U026); the Shadow identity lifecycle is defined (ADR-U027); and governance is organised by scope (ADR-U028).</w:t>
      </w:r>
    </w:p>
    <w:bookmarkEnd w:id="26"/>
    <w:bookmarkStart w:id="27" w:name="X940da5f0c9a461c74aa70088b4d8eae5e154856"/>
    <w:p>
      <w:pPr>
        <w:pStyle w:val="Heading2"/>
      </w:pPr>
      <w:r>
        <w:t xml:space="preserve">The five verticals thread through every level</w:t>
      </w:r>
    </w:p>
    <w:p>
      <w:pPr>
        <w:pStyle w:val="FirstParagraph"/>
      </w:pPr>
      <w:r>
        <w:t xml:space="preserve">Running vertically through the diagram are five amber dashed columns — Administration, Privacy/GDPR, Notifications, Observability, Transactions. These are not a sixth level; they are obligations that cut through every level.</w:t>
      </w:r>
    </w:p>
    <w:p>
      <w:pPr>
        <w:pStyle w:val="BodyText"/>
      </w:pPr>
      <w:r>
        <w:t xml:space="preserve">The verticals exist because vision-level principles demand them.</w:t>
      </w:r>
      <w:r>
        <w:t xml:space="preserve"> </w:t>
      </w:r>
      <w:r>
        <w:t xml:space="preserve">“Privacy over commercial opportunity”</w:t>
      </w:r>
      <w:r>
        <w:t xml:space="preserve"> </w:t>
      </w:r>
      <w:r>
        <w:t xml:space="preserve">is a founding principle — Privacy as a vertical is how that principle becomes operational at every tier below. The same pattern applies to the other four. They are locked at five by ADR-U002.</w:t>
      </w:r>
    </w:p>
    <w:p>
      <w:pPr>
        <w:pStyle w:val="BodyText"/>
      </w:pPr>
      <w:r>
        <w:t xml:space="preserve">Every feature spec template mandates a Vertical Impact section addressing all five verticals. No blanks. If a feature does not touch a given vertical, the spec says</w:t>
      </w:r>
      <w:r>
        <w:t xml:space="preserve"> </w:t>
      </w:r>
      <w:r>
        <w:t xml:space="preserve">“None”</w:t>
      </w:r>
      <w:r>
        <w:t xml:space="preserve"> </w:t>
      </w:r>
      <w:r>
        <w:t xml:space="preserve">with rationale — the vertical still gets addressed, just negatively.</w:t>
      </w:r>
    </w:p>
    <w:p>
      <w:pPr>
        <w:pStyle w:val="BodyText"/>
      </w:pPr>
      <w:r>
        <w:t xml:space="preserve">Verticals are the exception to the usual L2 file shape. A vertical does not own capabilities of its own; it levies obligations on other entities’ capabilities. Accordingly, each vertical uses a single</w:t>
      </w:r>
      <w:r>
        <w:t xml:space="preserve"> </w:t>
      </w:r>
      <w:r>
        <w:rPr>
          <w:rStyle w:val="VerbatimChar"/>
        </w:rPr>
        <w:t xml:space="preserve">SPECIFICATION.md</w:t>
      </w:r>
      <w:r>
        <w:t xml:space="preserve"> </w:t>
      </w:r>
      <w:r>
        <w:t xml:space="preserve">(at</w:t>
      </w:r>
      <w:r>
        <w:t xml:space="preserve"> </w:t>
      </w:r>
      <w:r>
        <w:rPr>
          <w:rStyle w:val="VerbatimChar"/>
        </w:rPr>
        <w:t xml:space="preserve">docs/verticals/{vertical}/SPECIFICATION.md</w:t>
      </w:r>
      <w:r>
        <w:t xml:space="preserve">) that folds L2 content (purpose, scope, tooling, failure modes) and L3 content (an obligation inventory in place of the capability inventory) into one file, per the</w:t>
      </w:r>
      <w:r>
        <w:t xml:space="preserve"> </w:t>
      </w:r>
      <w:r>
        <w:rPr>
          <w:rStyle w:val="VerbatimChar"/>
        </w:rPr>
        <w:t xml:space="preserve">vertical-spec.md</w:t>
      </w:r>
      <w:r>
        <w:t xml:space="preserve"> </w:t>
      </w:r>
      <w:r>
        <w:t xml:space="preserve">template.</w:t>
      </w:r>
    </w:p>
    <w:bookmarkEnd w:id="27"/>
    <w:bookmarkStart w:id="28" w:name="why-this-axis-matters"/>
    <w:p>
      <w:pPr>
        <w:pStyle w:val="Heading2"/>
      </w:pPr>
      <w:r>
        <w:t xml:space="preserve">Why this axis matters</w:t>
      </w:r>
    </w:p>
    <w:p>
      <w:pPr>
        <w:pStyle w:val="FirstParagraph"/>
      </w:pPr>
      <w:r>
        <w:t xml:space="preserve">The decomposition cascade is the architecture of the development process, not just of the code. Documentation hierarchy, folder structure, README cascades, and YAML frontmatter function as the API for the entire development process. Getting this axis right is the difference between a solo developer’s convenience tree and an ecosystem that fifty contributors can navigate without getting lost.</w:t>
      </w:r>
    </w:p>
    <w:p>
      <w:pPr>
        <w:pStyle w:val="BodyText"/>
      </w:pPr>
      <w:r>
        <w:t xml:space="preserve">Every ambiguity at this level propagates downward. A fuzzy L2 ownership produces ambiguous L4 spec homes. A skipped L3 capability map produces L4 specs without dependencies named. An unpopulated vertical spec at the cross-cut produces L4 specs with quiet assumptions.</w:t>
      </w:r>
    </w:p>
    <w:bookmarkEnd w:id="28"/>
    <w:bookmarkStart w:id="29" w:name="gaps-on-this-axis"/>
    <w:p>
      <w:pPr>
        <w:pStyle w:val="Heading2"/>
      </w:pPr>
      <w:r>
        <w:t xml:space="preserve">Gaps on this axis</w:t>
      </w:r>
    </w:p>
    <w:p>
      <w:pPr>
        <w:pStyle w:val="Compact"/>
        <w:numPr>
          <w:ilvl w:val="0"/>
          <w:numId w:val="1004"/>
        </w:numPr>
      </w:pPr>
      <w:r>
        <w:t xml:space="preserve">G-01 — Whisp architectural placement (L2). VISION.md has been revised since this gap was registered — the Whisp is now canonically the FIM’s own inner dialogue (see the beings core). The L2-placement question itself remains open: no current entity owns Whisp-involving features. Candidates: Intelligence (DS-7), World Model (DS-1), or a cross-service abstraction.</w:t>
      </w:r>
    </w:p>
    <w:p>
      <w:pPr>
        <w:pStyle w:val="Compact"/>
        <w:numPr>
          <w:ilvl w:val="0"/>
          <w:numId w:val="1004"/>
        </w:numPr>
      </w:pPr>
      <w:r>
        <w:t xml:space="preserve">G-02 — Cross-product feature sync (L4). Paired specs (Hub UI + Platform data model) are linked at creation; no mechanism keeps them synchronized as either evolves.</w:t>
      </w:r>
    </w:p>
    <w:p>
      <w:pPr>
        <w:pStyle w:val="Compact"/>
        <w:numPr>
          <w:ilvl w:val="0"/>
          <w:numId w:val="1004"/>
        </w:numPr>
      </w:pPr>
      <w:r>
        <w:t xml:space="preserve">G-03 — Vertical specs are scaffolds (cross-cut). Highest-priority gap in the document. The five vertical SPECIFICATION.md files exist but their obligation sections are marked</w:t>
      </w:r>
      <w:r>
        <w:t xml:space="preserve"> </w:t>
      </w:r>
      <w:r>
        <w:t xml:space="preserve">“to be refined.”</w:t>
      </w:r>
      <w:r>
        <w:t xml:space="preserve"> </w:t>
      </w:r>
      <w:r>
        <w:t xml:space="preserve">Feature specs are forced to fill Vertical Impact against stubs; implicit definitions diverge across specs; when the specs are eventually populated, a subset of shipped features will be out of compliance.</w:t>
      </w:r>
    </w:p>
    <w:p>
      <w:pPr>
        <w:pStyle w:val="Compact"/>
        <w:numPr>
          <w:ilvl w:val="0"/>
          <w:numId w:val="1004"/>
        </w:numPr>
      </w:pPr>
      <w:r>
        <w:t xml:space="preserve">G-20 — Reconciliation has no defined home. The skill locks reconciliation as a separate activity downstream of derivation (inventory-against-existing-specs, spec-against-code), but the activity has no skill, workflow, or named home.</w:t>
      </w:r>
    </w:p>
    <w:p>
      <w:pPr>
        <w:pStyle w:val="Compact"/>
        <w:numPr>
          <w:ilvl w:val="0"/>
          <w:numId w:val="1004"/>
        </w:numPr>
      </w:pPr>
      <w:r>
        <w:t xml:space="preserve">G-22 — Legacy FEAT absorb-and-delete. When L3 runs fresh on an entity with pre-refactor FEAT-*.md files, inspirational value is absorbed upstream and the legacy specs deleted in the same commit that lands new L4 specs. Described in the skill; not enforced.</w:t>
      </w:r>
    </w:p>
    <w:p>
      <w:pPr>
        <w:pStyle w:val="Compact"/>
        <w:numPr>
          <w:ilvl w:val="0"/>
          <w:numId w:val="1004"/>
        </w:numPr>
      </w:pPr>
      <w:r>
        <w:t xml:space="preserve">G-29 — Lateral routing for cross-entity findings. L3 stress-test passes produce findings that belong to other entities; those findings have no canonical home or routing mechanism to the targeted entity’s pickup list.</w:t>
      </w:r>
    </w:p>
    <w:p>
      <w:pPr>
        <w:pStyle w:val="Compact"/>
        <w:numPr>
          <w:ilvl w:val="0"/>
          <w:numId w:val="1004"/>
        </w:numPr>
      </w:pPr>
      <w:r>
        <w:t xml:space="preserve">G-32 — Reader-tour backfill obligation. Two reader tours (HUMAN, TECHNICAL) under</w:t>
      </w:r>
      <w:r>
        <w:t xml:space="preserve"> </w:t>
      </w:r>
      <w:r>
        <w:rPr>
          <w:rStyle w:val="VerbatimChar"/>
        </w:rPr>
        <w:t xml:space="preserve">{entity}/tours/</w:t>
      </w:r>
      <w:r>
        <w:t xml:space="preserve"> </w:t>
      </w:r>
      <w:r>
        <w:t xml:space="preserve">are a post-L3 maturity gate. Hub complied in-session; the gap is a forward marker that fires when the next entity ships its L3.</w:t>
      </w:r>
    </w:p>
    <w:bookmarkEnd w:id="29"/>
    <w:bookmarkEnd w:id="30"/>
    <w:bookmarkStart w:id="39" w:name="cadence-and-waves"/>
    <w:p>
      <w:pPr>
        <w:pStyle w:val="Heading1"/>
      </w:pPr>
      <w:r>
        <w:t xml:space="preserve">2 — Cadence and waves</w:t>
      </w:r>
    </w:p>
    <w:p>
      <w:pPr>
        <w:pStyle w:val="FirstParagraph"/>
      </w:pPr>
      <w:r>
        <w:t xml:space="preserve">The horizontal axis. How time is structured at FringeIsland. Six waves as overlapping thematic focus buckets, cycles and cooldowns as the operational rhythm, four nested retrospective scales.</w:t>
      </w:r>
    </w:p>
    <w:p>
      <w:pPr>
        <w:pStyle w:val="BodyText"/>
      </w:pPr>
      <w:r>
        <w:drawing>
          <wp:inline>
            <wp:extent cx="5760720" cy="7285616"/>
            <wp:effectExtent b="0" l="0" r="0" t="0"/>
            <wp:docPr descr="" title="" id="32" name="Picture"/>
            <a:graphic>
              <a:graphicData uri="http://schemas.openxmlformats.org/drawingml/2006/picture">
                <pic:pic>
                  <pic:nvPicPr>
                    <pic:cNvPr descr="C:/Users/stefa/AppData/Local/Temp/fi_docx_v3_extract2/word/media/image3.png" id="33" name="Picture"/>
                    <pic:cNvPicPr>
                      <a:picLocks noChangeArrowheads="1" noChangeAspect="1"/>
                    </pic:cNvPicPr>
                  </pic:nvPicPr>
                  <pic:blipFill>
                    <a:blip r:embed="rId31"/>
                    <a:stretch>
                      <a:fillRect/>
                    </a:stretch>
                  </pic:blipFill>
                  <pic:spPr bwMode="auto">
                    <a:xfrm>
                      <a:off x="0" y="0"/>
                      <a:ext cx="5760720" cy="7285616"/>
                    </a:xfrm>
                    <a:prstGeom prst="rect">
                      <a:avLst/>
                    </a:prstGeom>
                    <a:noFill/>
                    <a:ln w="9525">
                      <a:noFill/>
                      <a:headEnd/>
                      <a:tailEnd/>
                    </a:ln>
                  </pic:spPr>
                </pic:pic>
              </a:graphicData>
            </a:graphic>
          </wp:inline>
        </w:drawing>
      </w:r>
    </w:p>
    <w:bookmarkStart w:id="34" w:name="what-this-shows-1"/>
    <w:p>
      <w:pPr>
        <w:pStyle w:val="Heading2"/>
      </w:pPr>
      <w:r>
        <w:t xml:space="preserve">What this shows</w:t>
      </w:r>
    </w:p>
    <w:p>
      <w:pPr>
        <w:pStyle w:val="FirstParagraph"/>
      </w:pPr>
      <w:r>
        <w:t xml:space="preserve">Three bands, each operating at a different frequency.</w:t>
      </w:r>
    </w:p>
    <w:p>
      <w:pPr>
        <w:pStyle w:val="Compact"/>
        <w:numPr>
          <w:ilvl w:val="0"/>
          <w:numId w:val="1005"/>
        </w:numPr>
      </w:pPr>
      <w:r>
        <w:t xml:space="preserve">Waves band (top). Strategic focus over time — what the ecosystem prioritises in a given period. Six named waves — Ferd (voyage, foundation), Eid (narrow passage, design tools + narrative), Hamn (harbour, mobile + polish), Heim (home, community + world), Brim (horizon, discovery + growth), Urd (deep well, AI + depth).</w:t>
      </w:r>
    </w:p>
    <w:p>
      <w:pPr>
        <w:pStyle w:val="Compact"/>
        <w:numPr>
          <w:ilvl w:val="0"/>
          <w:numId w:val="1005"/>
        </w:numPr>
      </w:pPr>
      <w:r>
        <w:t xml:space="preserve">Cycle band (middle). The operational rhythm — 3-week build cycles with 1-week cooldowns between them. The actual temporal structure of solo-operator work.</w:t>
      </w:r>
    </w:p>
    <w:p>
      <w:pPr>
        <w:pStyle w:val="Compact"/>
        <w:numPr>
          <w:ilvl w:val="0"/>
          <w:numId w:val="1005"/>
        </w:numPr>
      </w:pPr>
      <w:r>
        <w:t xml:space="preserve">Retro band (bottom). The reflective cadence that threads through everything — daily intention and log, weekly Three Ls retrospective, cycle boundary retrospective and betting table, wave transition retrospective.</w:t>
      </w:r>
    </w:p>
    <w:bookmarkEnd w:id="34"/>
    <w:bookmarkStart w:id="35" w:name="Xf88d628142fde17a77827dcd34a275160a805ae"/>
    <w:p>
      <w:pPr>
        <w:pStyle w:val="Heading2"/>
      </w:pPr>
      <w:r>
        <w:t xml:space="preserve">Waves are thematic focus, not sequential gates</w:t>
      </w:r>
    </w:p>
    <w:p>
      <w:pPr>
        <w:pStyle w:val="FirstParagraph"/>
      </w:pPr>
      <w:r>
        <w:t xml:space="preserve">This is the single most counter-intuitive point about the wave model. Waves are not phases that complete before the next begins. Waves are thematic focus buckets that overlap in time. The bars in the diagram overlap deliberately — Eid work ramps up while Ferd is still winding down; Hamn work can begin before Eid is</w:t>
      </w:r>
      <w:r>
        <w:t xml:space="preserve"> </w:t>
      </w:r>
      <w:r>
        <w:t xml:space="preserve">“done.”</w:t>
      </w:r>
    </w:p>
    <w:p>
      <w:pPr>
        <w:pStyle w:val="BodyText"/>
      </w:pPr>
      <w:r>
        <w:t xml:space="preserve">Wave tags on feature specs are used for filtering, prioritisation, and strategic overview. They are not permission gates. A feature tagged wave:hamn can be worked on during Ferd if the capacity exists and no higher-priority Ferd item is blocked on it.</w:t>
      </w:r>
    </w:p>
    <w:bookmarkEnd w:id="35"/>
    <w:bookmarkStart w:id="36" w:name="the-cycle-rhythm-shaped-personal-kanban"/>
    <w:p>
      <w:pPr>
        <w:pStyle w:val="Heading2"/>
      </w:pPr>
      <w:r>
        <w:t xml:space="preserve">The cycle rhythm — Shaped Personal Kanban</w:t>
      </w:r>
    </w:p>
    <w:p>
      <w:pPr>
        <w:pStyle w:val="FirstParagraph"/>
      </w:pPr>
      <w:r>
        <w:t xml:space="preserve">The cadence is a hybrid: Personal Kanban’s continuous flow for daily execution, plus Shape Up’s strategic shaping at cycle boundaries. 3-week build cycles with 1-week cooldowns between them. Cooldown is not downtime — it is where bug fixing, tech debt, process refinement, and shaping of next cycle’s bets happen.</w:t>
      </w:r>
    </w:p>
    <w:p>
      <w:pPr>
        <w:pStyle w:val="BodyText"/>
      </w:pPr>
      <w:r>
        <w:t xml:space="preserve">WIP limit of 3 at the REVIEW stage — not at the doing stage. Parallelism during build is fine; review is the real bottleneck.</w:t>
      </w:r>
    </w:p>
    <w:p>
      <w:pPr>
        <w:pStyle w:val="BodyText"/>
      </w:pPr>
      <w:r>
        <w:t xml:space="preserve">The betting table at each cycle boundary now includes a gap review: the gaps register is read as input to the betting session, high-priority gaps are candidates for the tech-debt/NFR/process allocation until closed, and gaps closed during the cycle are removed from the register in the same pass.</w:t>
      </w:r>
    </w:p>
    <w:p>
      <w:pPr>
        <w:pStyle w:val="BodyText"/>
      </w:pPr>
      <w:r>
        <w:t xml:space="preserve">The cadence is explicitly mutable. The shape (cycles + cooldown + WIP limit + daily/weekly/cycle reflection) matters more than the specific durations.</w:t>
      </w:r>
    </w:p>
    <w:bookmarkEnd w:id="36"/>
    <w:bookmarkStart w:id="37" w:name="retros-nest-like-russian-dolls"/>
    <w:p>
      <w:pPr>
        <w:pStyle w:val="Heading2"/>
      </w:pPr>
      <w:r>
        <w:t xml:space="preserve">Retros nest like Russian dolls</w:t>
      </w:r>
    </w:p>
    <w:p>
      <w:pPr>
        <w:pStyle w:val="FirstParagraph"/>
      </w:pPr>
      <w:r>
        <w:t xml:space="preserve">The same retrospective template is used at four scales: daily (~8 min), weekly (~30 min, Three Ls), cycle (~2 hr, boundary retro + betting table), wave (at wave transition). A quarterly process audit uses the same template with quarter-scope.</w:t>
      </w:r>
    </w:p>
    <w:p>
      <w:pPr>
        <w:pStyle w:val="BodyText"/>
      </w:pPr>
      <w:r>
        <w:t xml:space="preserve">Nesting means daily learning feeds weekly reflection feeds cycle shaping feeds wave strategy. A retro that does not produce a concrete, actionable improvement for the next scale is just journaling.</w:t>
      </w:r>
    </w:p>
    <w:bookmarkEnd w:id="37"/>
    <w:bookmarkStart w:id="38" w:name="gaps-on-this-axis-1"/>
    <w:p>
      <w:pPr>
        <w:pStyle w:val="Heading2"/>
      </w:pPr>
      <w:r>
        <w:t xml:space="preserve">Gaps on this axis</w:t>
      </w:r>
    </w:p>
    <w:p>
      <w:pPr>
        <w:pStyle w:val="Compact"/>
        <w:numPr>
          <w:ilvl w:val="0"/>
          <w:numId w:val="1006"/>
        </w:numPr>
      </w:pPr>
      <w:r>
        <w:t xml:space="preserve">G-04 — Wave ↔ roadmap relationship. PROCESS.md references roadmaps alongside waves. The relationship is unresolved — do waves replace, duplicate, or complement roadmaps?</w:t>
      </w:r>
    </w:p>
    <w:p>
      <w:pPr>
        <w:pStyle w:val="Compact"/>
        <w:numPr>
          <w:ilvl w:val="0"/>
          <w:numId w:val="1006"/>
        </w:numPr>
      </w:pPr>
      <w:r>
        <w:t xml:space="preserve">G-05 — Review queue not operationalized. High priority. Tasks have status:review but no reviewer assignment, queue, or handoff protocol is documented. The bottleneck has no enforcement mechanism.</w:t>
      </w:r>
    </w:p>
    <w:p>
      <w:pPr>
        <w:pStyle w:val="Compact"/>
        <w:numPr>
          <w:ilvl w:val="0"/>
          <w:numId w:val="1006"/>
        </w:numPr>
      </w:pPr>
      <w:r>
        <w:t xml:space="preserve">G-06 — Multi-agent task locking. High priority. At 50+ parallel contributors, two agents can independently pick up the same TASK. No atomicity rule or collision detection is specified.</w:t>
      </w:r>
    </w:p>
    <w:p>
      <w:pPr>
        <w:pStyle w:val="Compact"/>
        <w:numPr>
          <w:ilvl w:val="0"/>
          <w:numId w:val="1006"/>
        </w:numPr>
      </w:pPr>
      <w:r>
        <w:t xml:space="preserve">G-07 — Ferd DoD empty. The wave-spec template has the DoD shape. Ferd’s specific criteria have not been populated.</w:t>
      </w:r>
      <w:r>
        <w:t xml:space="preserve"> </w:t>
      </w:r>
      <w:r>
        <w:t xml:space="preserve">“Are we done with Ferd?”</w:t>
      </w:r>
      <w:r>
        <w:t xml:space="preserve"> </w:t>
      </w:r>
      <w:r>
        <w:t xml:space="preserve">cannot be answered concretely.</w:t>
      </w:r>
    </w:p>
    <w:p>
      <w:pPr>
        <w:pStyle w:val="Compact"/>
        <w:numPr>
          <w:ilvl w:val="0"/>
          <w:numId w:val="1006"/>
        </w:numPr>
      </w:pPr>
      <w:r>
        <w:t xml:space="preserve">G-19 — Wave-planning skill needs structural review. The skill has not had the structural review its sibling</w:t>
      </w:r>
      <w:r>
        <w:t xml:space="preserve"> </w:t>
      </w:r>
      <w:r>
        <w:rPr>
          <w:rStyle w:val="VerbatimChar"/>
        </w:rPr>
        <w:t xml:space="preserve">ecosystem-decomposition</w:t>
      </w:r>
      <w:r>
        <w:t xml:space="preserve"> </w:t>
      </w:r>
      <w:r>
        <w:t xml:space="preserve">received — its sources, upstream dependencies, write scope, and boundary with the vertical axis are undefined.</w:t>
      </w:r>
    </w:p>
    <w:bookmarkEnd w:id="38"/>
    <w:bookmarkEnd w:id="39"/>
    <w:bookmarkStart w:id="54" w:name="X9779759f8b465ddfc2bd43e27b4d6a9e87aac41"/>
    <w:p>
      <w:pPr>
        <w:pStyle w:val="Heading1"/>
      </w:pPr>
      <w:r>
        <w:t xml:space="preserve">3 — Execution: backlog refinement and the kanban board</w:t>
      </w:r>
    </w:p>
    <w:p>
      <w:pPr>
        <w:pStyle w:val="FirstParagraph"/>
      </w:pPr>
      <w:r>
        <w:t xml:space="preserve">Part 1 of the execution axis. How items flow from raw ideas through progressive refinement into an active cycle board. Before you can build something, it has to be ready to build.</w:t>
      </w:r>
    </w:p>
    <w:p>
      <w:pPr>
        <w:pStyle w:val="BodyText"/>
      </w:pPr>
      <w:r>
        <w:drawing>
          <wp:inline>
            <wp:extent cx="5760720" cy="7116183"/>
            <wp:effectExtent b="0" l="0" r="0" t="0"/>
            <wp:docPr descr="" title="" id="41" name="Picture"/>
            <a:graphic>
              <a:graphicData uri="http://schemas.openxmlformats.org/drawingml/2006/picture">
                <pic:pic>
                  <pic:nvPicPr>
                    <pic:cNvPr descr="C:/Users/stefa/AppData/Local/Temp/fi_docx_v3_extract2/word/media/image4.png" id="42" name="Picture"/>
                    <pic:cNvPicPr>
                      <a:picLocks noChangeArrowheads="1" noChangeAspect="1"/>
                    </pic:cNvPicPr>
                  </pic:nvPicPr>
                  <pic:blipFill>
                    <a:blip r:embed="rId40"/>
                    <a:stretch>
                      <a:fillRect/>
                    </a:stretch>
                  </pic:blipFill>
                  <pic:spPr bwMode="auto">
                    <a:xfrm>
                      <a:off x="0" y="0"/>
                      <a:ext cx="5760720" cy="7116183"/>
                    </a:xfrm>
                    <a:prstGeom prst="rect">
                      <a:avLst/>
                    </a:prstGeom>
                    <a:noFill/>
                    <a:ln w="9525">
                      <a:noFill/>
                      <a:headEnd/>
                      <a:tailEnd/>
                    </a:ln>
                  </pic:spPr>
                </pic:pic>
              </a:graphicData>
            </a:graphic>
          </wp:inline>
        </w:drawing>
      </w:r>
    </w:p>
    <w:bookmarkStart w:id="43" w:name="what-this-shows-2"/>
    <w:p>
      <w:pPr>
        <w:pStyle w:val="Heading2"/>
      </w:pPr>
      <w:r>
        <w:t xml:space="preserve">What this shows</w:t>
      </w:r>
    </w:p>
    <w:p>
      <w:pPr>
        <w:pStyle w:val="FirstParagraph"/>
      </w:pPr>
      <w:r>
        <w:t xml:space="preserve">Two stages of the execution axis, stacked vertically.</w:t>
      </w:r>
    </w:p>
    <w:p>
      <w:pPr>
        <w:pStyle w:val="Compact"/>
        <w:numPr>
          <w:ilvl w:val="0"/>
          <w:numId w:val="1007"/>
        </w:numPr>
      </w:pPr>
      <w:r>
        <w:t xml:space="preserve">Progressive elaboration (top), maturity 0 to 4. The refinement pipeline — same FEAT-*.md file, carrying the item from raw idea to ready-to-pull-into-a-cycle. The file’s YAML maturity frontmatter changes; the file path does not. Parking is also a YAML flag (</w:t>
      </w:r>
      <w:r>
        <w:rPr>
          <w:rStyle w:val="VerbatimChar"/>
        </w:rPr>
        <w:t xml:space="preserve">parked: true</w:t>
      </w:r>
      <w:r>
        <w:t xml:space="preserve"> </w:t>
      </w:r>
      <w:r>
        <w:t xml:space="preserve">with a reason), not a separate icebox file.</w:t>
      </w:r>
    </w:p>
    <w:p>
      <w:pPr>
        <w:pStyle w:val="Compact"/>
        <w:numPr>
          <w:ilvl w:val="0"/>
          <w:numId w:val="1007"/>
        </w:numPr>
      </w:pPr>
      <w:r>
        <w:t xml:space="preserve">Active cycle kanban (bottom), maturity 5 to 6. Six columns — Ideas, Shaped, Ready, Doing, Review, Done. When an item at 4-ready is pulled into a cycle, the YAML flag advances to 5-in-cycle and TASK files are generated. The spec reaches 6-done when every task has passed DoD and Implementation notes are filled in.</w:t>
      </w:r>
    </w:p>
    <w:bookmarkEnd w:id="43"/>
    <w:bookmarkStart w:id="47" w:name="Xe0d0300d82e431217661a0e43ddbc4ad324fe70"/>
    <w:p>
      <w:pPr>
        <w:pStyle w:val="Heading2"/>
      </w:pPr>
      <w:r>
        <w:t xml:space="preserve">The full pipeline: 0 through 6 on one file</w:t>
      </w:r>
    </w:p>
    <w:p>
      <w:pPr>
        <w:pStyle w:val="FirstParagraph"/>
      </w:pPr>
      <w:r>
        <w:t xml:space="preserve">An item enters at maturity 0 and progresses through the levels as genuine work is done. The discipline is never skip a level. Under Model A, the same FEAT-*.md file carries the item from raw idea to shipped — no separate PRDs, no separate user-story files.</w:t>
      </w:r>
    </w:p>
    <w:bookmarkStart w:id="44" w:name="refinement-0-to-4-product-owners-lane"/>
    <w:p>
      <w:pPr>
        <w:pStyle w:val="Heading3"/>
      </w:pPr>
      <w:r>
        <w:t xml:space="preserve">Refinement (0 to 4) — product owner’s lane</w:t>
      </w:r>
    </w:p>
    <w:p>
      <w:pPr>
        <w:pStyle w:val="FirstParagraph"/>
      </w:pPr>
      <w:r>
        <w:t xml:space="preserve">The diagram’s top row. Levels 0 through 4 are owned by the product owner. The artifact at each level is the feature spec itself, progressively filled in.</w:t>
      </w:r>
    </w:p>
    <w:p>
      <w:pPr>
        <w:pStyle w:val="Compact"/>
        <w:numPr>
          <w:ilvl w:val="0"/>
          <w:numId w:val="1008"/>
        </w:numPr>
      </w:pPr>
      <w:r>
        <w:t xml:space="preserve">0 Raw. One sentence —</w:t>
      </w:r>
      <w:r>
        <w:t xml:space="preserve"> </w:t>
      </w:r>
      <w:r>
        <w:t xml:space="preserve">“wouldn’t it be cool if…”</w:t>
      </w:r>
    </w:p>
    <w:p>
      <w:pPr>
        <w:pStyle w:val="Compact"/>
        <w:numPr>
          <w:ilvl w:val="0"/>
          <w:numId w:val="1008"/>
        </w:numPr>
      </w:pPr>
      <w:r>
        <w:t xml:space="preserve">1 Concept. Problem identified, who benefits, rough shape.</w:t>
      </w:r>
    </w:p>
    <w:p>
      <w:pPr>
        <w:pStyle w:val="Compact"/>
        <w:numPr>
          <w:ilvl w:val="0"/>
          <w:numId w:val="1008"/>
        </w:numPr>
      </w:pPr>
      <w:r>
        <w:t xml:space="preserve">2 Explored. Research done, approach sketched, risks named.</w:t>
      </w:r>
    </w:p>
    <w:p>
      <w:pPr>
        <w:pStyle w:val="Compact"/>
        <w:numPr>
          <w:ilvl w:val="0"/>
          <w:numId w:val="1008"/>
        </w:numPr>
      </w:pPr>
      <w:r>
        <w:t xml:space="preserve">3 Specified. Stories written with Given/When/Then acceptance criteria.</w:t>
      </w:r>
    </w:p>
    <w:p>
      <w:pPr>
        <w:pStyle w:val="Compact"/>
        <w:numPr>
          <w:ilvl w:val="0"/>
          <w:numId w:val="1008"/>
        </w:numPr>
      </w:pPr>
      <w:r>
        <w:t xml:space="preserve">4 Ready. All questions answered, DoR met, estimable.</w:t>
      </w:r>
    </w:p>
    <w:bookmarkEnd w:id="44"/>
    <w:bookmarkStart w:id="45" w:name="on-board-5-to-6-developers-lane"/>
    <w:p>
      <w:pPr>
        <w:pStyle w:val="Heading3"/>
      </w:pPr>
      <w:r>
        <w:t xml:space="preserve">On-board (5 to 6) — developer’s lane</w:t>
      </w:r>
    </w:p>
    <w:p>
      <w:pPr>
        <w:pStyle w:val="FirstParagraph"/>
      </w:pPr>
      <w:r>
        <w:t xml:space="preserve">The diagram’s bottom row. Levels 5 and 6 are owned by the developer (the AI agent, when delegated).</w:t>
      </w:r>
    </w:p>
    <w:p>
      <w:pPr>
        <w:pStyle w:val="Compact"/>
        <w:numPr>
          <w:ilvl w:val="0"/>
          <w:numId w:val="1009"/>
        </w:numPr>
      </w:pPr>
      <w:r>
        <w:t xml:space="preserve">5 In cycle. The YAML flag on FEAT-</w:t>
      </w:r>
      <w:r>
        <w:rPr>
          <w:i/>
          <w:iCs/>
        </w:rPr>
        <w:t xml:space="preserve">.md flips from 4-ready to 5-in-cycle when a cycle pulls the item. TASK-</w:t>
      </w:r>
      <w:r>
        <w:t xml:space="preserve">.md files are generated. Maturity 5 spans both the Doing and Review kanban columns — a task can be in Review while its parent feature is still at 5-in-cycle.</w:t>
      </w:r>
    </w:p>
    <w:p>
      <w:pPr>
        <w:pStyle w:val="Compact"/>
        <w:numPr>
          <w:ilvl w:val="0"/>
          <w:numId w:val="1009"/>
        </w:numPr>
      </w:pPr>
      <w:r>
        <w:t xml:space="preserve">6 Done. When the last task on the feature passes DoD and is approved through review, the developer flips the YAML to 6-done and populates the Implementation notes section: what was actually built, where it lives, key files, migrations, RPCs, components, decisions made during implementation. Forward-looking sections on the spec (Solution sketch, Appetite, Rabbit holes) become obsolete. The spec has reshaped itself from proposal into record. The task files are deleted after the cycle retrospective is committed.</w:t>
      </w:r>
    </w:p>
    <w:p>
      <w:pPr>
        <w:pStyle w:val="FirstParagraph"/>
      </w:pPr>
      <w:r>
        <w:t xml:space="preserve">Maturity transitions at 5 and 6 carry a sibling obligation: in the same commit as the maturity change, the feature-inventory summary row in the parent entity’s SPECIFICATION.md is updated to match. The doc-health-check skill verifies the summary against the actual state of the features folder at cycle boundaries.</w:t>
      </w:r>
    </w:p>
    <w:bookmarkEnd w:id="45"/>
    <w:bookmarkStart w:id="46" w:name="X49531f3bb27217d2080d6588ece5b48339b458d"/>
    <w:p>
      <w:pPr>
        <w:pStyle w:val="Heading3"/>
      </w:pPr>
      <w:r>
        <w:t xml:space="preserve">Maturity and kanban columns are orthogonal</w:t>
      </w:r>
    </w:p>
    <w:p>
      <w:pPr>
        <w:pStyle w:val="FirstParagraph"/>
      </w:pPr>
      <w:r>
        <w:t xml:space="preserve">These are two different tracking mechanisms operating on two different objects. Maturity is a YAML flag on the feature spec — one feature, one flag. Kanban column is the status field on a task file — one feature can have multiple tasks, each in a different column.</w:t>
      </w:r>
    </w:p>
    <w:p>
      <w:pPr>
        <w:pStyle w:val="BodyText"/>
      </w:pPr>
      <w:r>
        <w:t xml:space="preserve">A feature reaches maturity 5-in-cycle the moment any of its tasks enters Doing. It only reaches 6-done when all of its tasks reach the Done column and the Implementation notes are written. If a feature has three tasks and two are Done while one is still in Review, the feature is at 5-in-cycle, not 6-done.</w:t>
      </w:r>
    </w:p>
    <w:bookmarkEnd w:id="46"/>
    <w:bookmarkEnd w:id="47"/>
    <w:bookmarkStart w:id="48" w:name="why-the-pipeline-matters"/>
    <w:p>
      <w:pPr>
        <w:pStyle w:val="Heading2"/>
      </w:pPr>
      <w:r>
        <w:t xml:space="preserve">Why the pipeline matters</w:t>
      </w:r>
    </w:p>
    <w:p>
      <w:pPr>
        <w:pStyle w:val="FirstParagraph"/>
      </w:pPr>
      <w:r>
        <w:t xml:space="preserve">The pipeline exists because of a lesson learned: Ferd’s early roadmap was built before proper research, leading to architectural assumptions that were not validated. The pipeline enforces</w:t>
      </w:r>
      <w:r>
        <w:t xml:space="preserve"> </w:t>
      </w:r>
      <w:r>
        <w:t xml:space="preserve">“research before specification”</w:t>
      </w:r>
      <w:r>
        <w:t xml:space="preserve"> </w:t>
      </w:r>
      <w:r>
        <w:t xml:space="preserve">— an item cannot reach maturity 3 without having passed through maturity 2. Skipping ahead is how bad assumptions get baked in.</w:t>
      </w:r>
    </w:p>
    <w:bookmarkEnd w:id="48"/>
    <w:bookmarkStart w:id="49" w:name="X2dd627c6332fdd67b6c306616421f02b30568da"/>
    <w:p>
      <w:pPr>
        <w:pStyle w:val="Heading2"/>
      </w:pPr>
      <w:r>
        <w:t xml:space="preserve">The Definition of Ready is the gate into the board</w:t>
      </w:r>
    </w:p>
    <w:p>
      <w:pPr>
        <w:pStyle w:val="FirstParagraph"/>
      </w:pPr>
      <w:r>
        <w:t xml:space="preserve">An item does not get pulled onto the kanban just because someone wants to build it. It must first pass DoR — defined in PROCESS.md §4. Every box must check. DoR is the product owner’s job, not the developer’s. Its purpose is to protect the developer (and the AI agent) from vague work.</w:t>
      </w:r>
    </w:p>
    <w:bookmarkEnd w:id="49"/>
    <w:bookmarkStart w:id="50" w:name="kanban-column-semantics"/>
    <w:p>
      <w:pPr>
        <w:pStyle w:val="Heading2"/>
      </w:pPr>
      <w:r>
        <w:t xml:space="preserve">Kanban column semantics</w:t>
      </w:r>
    </w:p>
    <w:p>
      <w:pPr>
        <w:pStyle w:val="FirstParagraph"/>
      </w:pPr>
      <w:r>
        <w:t xml:space="preserve">The six columns correspond to values of the task status field (except Ideas and Shaped, which are pre-board states living in feature specs at maturity 0–1 and 2 respectively).</w:t>
      </w:r>
    </w:p>
    <w:p>
      <w:pPr>
        <w:pStyle w:val="Compact"/>
        <w:numPr>
          <w:ilvl w:val="0"/>
          <w:numId w:val="1010"/>
        </w:numPr>
      </w:pPr>
      <w:r>
        <w:t xml:space="preserve">Ideas — pre-board. Features at maturity 0-raw or 1-concept. No task file yet.</w:t>
      </w:r>
    </w:p>
    <w:p>
      <w:pPr>
        <w:pStyle w:val="Compact"/>
        <w:numPr>
          <w:ilvl w:val="0"/>
          <w:numId w:val="1010"/>
        </w:numPr>
      </w:pPr>
      <w:r>
        <w:t xml:space="preserve">Shaped — pre-board. Features at maturity 2-explored. Appetite set and rough approach; still not ready to build.</w:t>
      </w:r>
    </w:p>
    <w:p>
      <w:pPr>
        <w:pStyle w:val="Compact"/>
        <w:numPr>
          <w:ilvl w:val="0"/>
          <w:numId w:val="1010"/>
        </w:numPr>
      </w:pPr>
      <w:r>
        <w:t xml:space="preserve">Ready — on the board. Features at maturity 3 and 4. Tasks generated. Passed DoR. Waiting to be pulled into the active cycle.</w:t>
      </w:r>
    </w:p>
    <w:p>
      <w:pPr>
        <w:pStyle w:val="Compact"/>
        <w:numPr>
          <w:ilvl w:val="0"/>
          <w:numId w:val="1010"/>
        </w:numPr>
      </w:pPr>
      <w:r>
        <w:t xml:space="preserve">Doing — on the board. Tasks in motion. Parent feature is at maturity 5-in-cycle. Parallelism here is fine — WIP is enforced downstream.</w:t>
      </w:r>
    </w:p>
    <w:p>
      <w:pPr>
        <w:pStyle w:val="Compact"/>
        <w:numPr>
          <w:ilvl w:val="0"/>
          <w:numId w:val="1010"/>
        </w:numPr>
      </w:pPr>
      <w:r>
        <w:t xml:space="preserve">Review — on the board. Tasks awaiting review. Parent feature still at maturity 5-in-cycle. This is where WIP limit 3 applies — review capacity is the real bottleneck.</w:t>
      </w:r>
    </w:p>
    <w:p>
      <w:pPr>
        <w:pStyle w:val="Compact"/>
        <w:numPr>
          <w:ilvl w:val="0"/>
          <w:numId w:val="1010"/>
        </w:numPr>
      </w:pPr>
      <w:r>
        <w:t xml:space="preserve">Done — on the board. Tasks that have passed DoD. When all of a feature’s tasks are Done and Implementation notes are filled in, the parent feature flips to 6-done. The task files survive the cooldown and are deleted after the cycle retrospective is committed.</w:t>
      </w:r>
    </w:p>
    <w:bookmarkEnd w:id="50"/>
    <w:bookmarkStart w:id="51" w:name="definition-of-done-is-the-gate-out"/>
    <w:p>
      <w:pPr>
        <w:pStyle w:val="Heading2"/>
      </w:pPr>
      <w:r>
        <w:t xml:space="preserve">Definition of Done is the gate out</w:t>
      </w:r>
    </w:p>
    <w:p>
      <w:pPr>
        <w:pStyle w:val="FirstParagraph"/>
      </w:pPr>
      <w:r>
        <w:t xml:space="preserve">DoD is universal across all work. Every applicable box must check: acceptance criteria implemented and verified; ESLint + TypeScript strict pass; key logic unit-tested; mobile responsive for any UI change; Supabase RLS policies applied for every new table and access pattern; builds clean locally and in CI; deployed to preview and verified; README/CHANGELOG updated if user-visible behavior changed; Platform Specification updated if a shared API surface changed; complex decisions documented as ADR.</w:t>
      </w:r>
    </w:p>
    <w:p>
      <w:pPr>
        <w:pStyle w:val="BodyText"/>
      </w:pPr>
      <w:r>
        <w:t xml:space="preserve">DoD is applied per task. The feature-level transition to 6-done happens when all of a feature’s tasks have individually cleared DoD AND the Implementation notes section on the spec has been populated.</w:t>
      </w:r>
    </w:p>
    <w:bookmarkEnd w:id="51"/>
    <w:bookmarkStart w:id="52" w:name="tech-debt-allocation"/>
    <w:p>
      <w:pPr>
        <w:pStyle w:val="Heading2"/>
      </w:pPr>
      <w:r>
        <w:t xml:space="preserve">Tech debt allocation</w:t>
      </w:r>
    </w:p>
    <w:p>
      <w:pPr>
        <w:pStyle w:val="FirstParagraph"/>
      </w:pPr>
      <w:r>
        <w:t xml:space="preserve">15-20% of each cycle’s capacity is reserved for tech debt. This is a target that prevents feature work from consistently crowding out quality work. Tech debt items live in the same backlog as features, tagged type:tech-debt.</w:t>
      </w:r>
    </w:p>
    <w:bookmarkEnd w:id="52"/>
    <w:bookmarkStart w:id="53" w:name="gaps-on-this-axis-2"/>
    <w:p>
      <w:pPr>
        <w:pStyle w:val="Heading2"/>
      </w:pPr>
      <w:r>
        <w:t xml:space="preserve">Gaps on this axis</w:t>
      </w:r>
    </w:p>
    <w:p>
      <w:pPr>
        <w:pStyle w:val="Compact"/>
        <w:numPr>
          <w:ilvl w:val="0"/>
          <w:numId w:val="1011"/>
        </w:numPr>
      </w:pPr>
      <w:r>
        <w:t xml:space="preserve">G-09 — Refinement ritual undocumented. Maturity levels are named; how items actually get refined 0→4 in practice is not.</w:t>
      </w:r>
    </w:p>
    <w:p>
      <w:pPr>
        <w:pStyle w:val="Compact"/>
        <w:numPr>
          <w:ilvl w:val="0"/>
          <w:numId w:val="1011"/>
        </w:numPr>
      </w:pPr>
      <w:r>
        <w:t xml:space="preserve">G-10 — Board mechanic unchosen. The six-column board has no documented tool. GitHub Projects? Linear? Markdown table + grep?</w:t>
      </w:r>
    </w:p>
    <w:p>
      <w:pPr>
        <w:pStyle w:val="Compact"/>
        <w:numPr>
          <w:ilvl w:val="0"/>
          <w:numId w:val="1011"/>
        </w:numPr>
      </w:pPr>
      <w:r>
        <w:t xml:space="preserve">G-14 — Discovery 0→2 flow orphaned. The ecosystem-decomposition skill covers levels 1-5 as artifacts. The explicit</w:t>
      </w:r>
      <w:r>
        <w:t xml:space="preserve"> </w:t>
      </w:r>
      <w:r>
        <w:t xml:space="preserve">“raw idea to explored”</w:t>
      </w:r>
      <w:r>
        <w:t xml:space="preserve"> </w:t>
      </w:r>
      <w:r>
        <w:t xml:space="preserve">transition has no home.</w:t>
      </w:r>
    </w:p>
    <w:p>
      <w:pPr>
        <w:pStyle w:val="Compact"/>
        <w:numPr>
          <w:ilvl w:val="0"/>
          <w:numId w:val="1011"/>
        </w:numPr>
      </w:pPr>
      <w:r>
        <w:t xml:space="preserve">G-18 — Research pathway under-specified. Three research mechanisms exist but are not unified: maturity-2 as a research stage on a feature spec, type:spike as a work-item type, and docs/research/ for long-form reports. When does a question warrant a spike vs a research report? How do findings flow back into affected specs? The connective tissue is missing.</w:t>
      </w:r>
    </w:p>
    <w:bookmarkEnd w:id="53"/>
    <w:bookmarkEnd w:id="54"/>
    <w:bookmarkStart w:id="64" w:name="execution-the-per-task-build-loop"/>
    <w:p>
      <w:pPr>
        <w:pStyle w:val="Heading1"/>
      </w:pPr>
      <w:r>
        <w:t xml:space="preserve">4 — Execution: the per-task build loop</w:t>
      </w:r>
    </w:p>
    <w:p>
      <w:pPr>
        <w:pStyle w:val="FirstParagraph"/>
      </w:pPr>
      <w:r>
        <w:t xml:space="preserve">Part 2 of the execution axis. What happens once a task moves from Ready into Doing. The build loop, the BDD-to-test translation, the testing trophy shape.</w:t>
      </w:r>
    </w:p>
    <w:p>
      <w:pPr>
        <w:pStyle w:val="BodyText"/>
      </w:pPr>
      <w:r>
        <w:drawing>
          <wp:inline>
            <wp:extent cx="5760720" cy="6777317"/>
            <wp:effectExtent b="0" l="0" r="0" t="0"/>
            <wp:docPr descr="" title="" id="56" name="Picture"/>
            <a:graphic>
              <a:graphicData uri="http://schemas.openxmlformats.org/drawingml/2006/picture">
                <pic:pic>
                  <pic:nvPicPr>
                    <pic:cNvPr descr="C:/Users/stefa/AppData/Local/Temp/fi_docx_v3_extract2/word/media/image5.png" id="57" name="Picture"/>
                    <pic:cNvPicPr>
                      <a:picLocks noChangeArrowheads="1" noChangeAspect="1"/>
                    </pic:cNvPicPr>
                  </pic:nvPicPr>
                  <pic:blipFill>
                    <a:blip r:embed="rId55"/>
                    <a:stretch>
                      <a:fillRect/>
                    </a:stretch>
                  </pic:blipFill>
                  <pic:spPr bwMode="auto">
                    <a:xfrm>
                      <a:off x="0" y="0"/>
                      <a:ext cx="5760720" cy="6777317"/>
                    </a:xfrm>
                    <a:prstGeom prst="rect">
                      <a:avLst/>
                    </a:prstGeom>
                    <a:noFill/>
                    <a:ln w="9525">
                      <a:noFill/>
                      <a:headEnd/>
                      <a:tailEnd/>
                    </a:ln>
                  </pic:spPr>
                </pic:pic>
              </a:graphicData>
            </a:graphic>
          </wp:inline>
        </w:drawing>
      </w:r>
    </w:p>
    <w:bookmarkStart w:id="58" w:name="what-this-shows-3"/>
    <w:p>
      <w:pPr>
        <w:pStyle w:val="Heading2"/>
      </w:pPr>
      <w:r>
        <w:t xml:space="preserve">What this shows</w:t>
      </w:r>
    </w:p>
    <w:p>
      <w:pPr>
        <w:pStyle w:val="FirstParagraph"/>
      </w:pPr>
      <w:r>
        <w:t xml:space="preserve">Three stacked sections.</w:t>
      </w:r>
    </w:p>
    <w:p>
      <w:pPr>
        <w:pStyle w:val="Compact"/>
        <w:numPr>
          <w:ilvl w:val="0"/>
          <w:numId w:val="1012"/>
        </w:numPr>
      </w:pPr>
      <w:r>
        <w:t xml:space="preserve">The build loop (top). Research → Plan → Annotate → Implement. The canonical pattern for working with an AI coding agent. Markdown files serve as shared mutable state between the developer and the agent.</w:t>
      </w:r>
    </w:p>
    <w:p>
      <w:pPr>
        <w:pStyle w:val="Compact"/>
        <w:numPr>
          <w:ilvl w:val="0"/>
          <w:numId w:val="1012"/>
        </w:numPr>
      </w:pPr>
      <w:r>
        <w:t xml:space="preserve">Given/When/Then feeds three test layers (middle). The same BDD scenario from the feature spec becomes the input to unit tests (TDD-style), integration tests (BDD-style), and E2E tests (critical paths). One source, three layers.</w:t>
      </w:r>
    </w:p>
    <w:p>
      <w:pPr>
        <w:pStyle w:val="Compact"/>
        <w:numPr>
          <w:ilvl w:val="0"/>
          <w:numId w:val="1012"/>
        </w:numPr>
      </w:pPr>
      <w:r>
        <w:t xml:space="preserve">The Testing Trophy (bottom). Relative effort per layer. Integration is the biggest band. Static analysis is the free foundation. E2E and database tests are smaller but critical — database tests especially matter in a Supabase-RLS-heavy stack.</w:t>
      </w:r>
    </w:p>
    <w:bookmarkEnd w:id="58"/>
    <w:bookmarkStart w:id="59" w:name="X4491da1814e07df838724f3901e596bbb4f00e4"/>
    <w:p>
      <w:pPr>
        <w:pStyle w:val="Heading2"/>
      </w:pPr>
      <w:r>
        <w:t xml:space="preserve">The build loop: Research → Plan → Annotate → Implement</w:t>
      </w:r>
    </w:p>
    <w:p>
      <w:pPr>
        <w:pStyle w:val="FirstParagraph"/>
      </w:pPr>
      <w:r>
        <w:t xml:space="preserve">This is the core working pattern with an AI coding agent. The markdown file is the interface. It is read and written by both the developer and the agent. It carries the state of the work across turns.</w:t>
      </w:r>
    </w:p>
    <w:p>
      <w:pPr>
        <w:pStyle w:val="Compact"/>
        <w:numPr>
          <w:ilvl w:val="0"/>
          <w:numId w:val="1013"/>
        </w:numPr>
      </w:pPr>
      <w:r>
        <w:t xml:space="preserve">1. Research. The agent reads relevant code and writes findings to a research document.</w:t>
      </w:r>
    </w:p>
    <w:p>
      <w:pPr>
        <w:pStyle w:val="Compact"/>
        <w:numPr>
          <w:ilvl w:val="0"/>
          <w:numId w:val="1013"/>
        </w:numPr>
      </w:pPr>
      <w:r>
        <w:t xml:space="preserve">2. Plan. The agent produces a detailed implementation plan with code snippets in a plan document.</w:t>
      </w:r>
    </w:p>
    <w:p>
      <w:pPr>
        <w:pStyle w:val="Compact"/>
        <w:numPr>
          <w:ilvl w:val="0"/>
          <w:numId w:val="1013"/>
        </w:numPr>
      </w:pPr>
      <w:r>
        <w:t xml:space="preserve">3. Annotate. The developer reviews the plan, adds inline notes, then instructs the agent:</w:t>
      </w:r>
      <w:r>
        <w:t xml:space="preserve"> </w:t>
      </w:r>
      <w:r>
        <w:t xml:space="preserve">“I added notes, address them and update the plan. Don’t implement yet.”</w:t>
      </w:r>
      <w:r>
        <w:t xml:space="preserve"> </w:t>
      </w:r>
      <w:r>
        <w:t xml:space="preserve">The guard phrase is critical.</w:t>
      </w:r>
    </w:p>
    <w:p>
      <w:pPr>
        <w:pStyle w:val="Compact"/>
        <w:numPr>
          <w:ilvl w:val="0"/>
          <w:numId w:val="1013"/>
        </w:numPr>
      </w:pPr>
      <w:r>
        <w:t xml:space="preserve">4. Implement. Once the plan is solid, the developer instructs:</w:t>
      </w:r>
      <w:r>
        <w:t xml:space="preserve"> </w:t>
      </w:r>
      <w:r>
        <w:t xml:space="preserve">“Implement it all. Mark tasks as completed in the plan document.”</w:t>
      </w:r>
    </w:p>
    <w:p>
      <w:pPr>
        <w:pStyle w:val="FirstParagraph"/>
      </w:pPr>
      <w:r>
        <w:t xml:space="preserve">This is the concrete mechanism that makes</w:t>
      </w:r>
      <w:r>
        <w:t xml:space="preserve"> </w:t>
      </w:r>
      <w:r>
        <w:t xml:space="preserve">“documentation IS the primary artifact, code is the byproduct”</w:t>
      </w:r>
      <w:r>
        <w:t xml:space="preserve"> </w:t>
      </w:r>
      <w:r>
        <w:t xml:space="preserve">operational at the task level — not an aspirational slogan.</w:t>
      </w:r>
    </w:p>
    <w:bookmarkEnd w:id="59"/>
    <w:bookmarkStart w:id="60" w:name="Xaedc02712607f827964c9ca25cd241bcd5bdd5c"/>
    <w:p>
      <w:pPr>
        <w:pStyle w:val="Heading2"/>
      </w:pPr>
      <w:r>
        <w:t xml:space="preserve">Given/When/Then is one source, three test sites</w:t>
      </w:r>
    </w:p>
    <w:p>
      <w:pPr>
        <w:pStyle w:val="FirstParagraph"/>
      </w:pPr>
      <w:r>
        <w:t xml:space="preserve">The feature spec template requires each story to have Given/When/Then acceptance criteria inline. Those same scenarios are then the canonical source for test writing at three layers.</w:t>
      </w:r>
    </w:p>
    <w:p>
      <w:pPr>
        <w:pStyle w:val="Compact"/>
        <w:numPr>
          <w:ilvl w:val="0"/>
          <w:numId w:val="1014"/>
        </w:numPr>
      </w:pPr>
      <w:r>
        <w:t xml:space="preserve">Unit tests (TDD-style, Jest). Test the hardest-to-debug internal logic.</w:t>
      </w:r>
    </w:p>
    <w:p>
      <w:pPr>
        <w:pStyle w:val="Compact"/>
        <w:numPr>
          <w:ilvl w:val="0"/>
          <w:numId w:val="1014"/>
        </w:numPr>
      </w:pPr>
      <w:r>
        <w:t xml:space="preserve">Integration tests (BDD-style, Jest + Supabase). API routes with their real database, components with their real dependencies. The largest layer per the Testing Trophy.</w:t>
      </w:r>
    </w:p>
    <w:p>
      <w:pPr>
        <w:pStyle w:val="Compact"/>
        <w:numPr>
          <w:ilvl w:val="0"/>
          <w:numId w:val="1014"/>
        </w:numPr>
      </w:pPr>
      <w:r>
        <w:t xml:space="preserve">E2E tests (Playwright). Critical user paths only — signup → onboarding → core feature flow.</w:t>
      </w:r>
    </w:p>
    <w:p>
      <w:pPr>
        <w:pStyle w:val="FirstParagraph"/>
      </w:pPr>
      <w:r>
        <w:t xml:space="preserve">The value of keeping the source canonical in the feature spec is that the same scenario can be referenced from any of the three test files — and when the scenario changes, all three test layers know where to look.</w:t>
      </w:r>
    </w:p>
    <w:bookmarkEnd w:id="60"/>
    <w:bookmarkStart w:id="61" w:name="the-testing-trophy-shape"/>
    <w:p>
      <w:pPr>
        <w:pStyle w:val="Heading2"/>
      </w:pPr>
      <w:r>
        <w:t xml:space="preserve">The Testing Trophy shape</w:t>
      </w:r>
    </w:p>
    <w:p>
      <w:pPr>
        <w:pStyle w:val="FirstParagraph"/>
      </w:pPr>
      <w:r>
        <w:t xml:space="preserve">Kent C. Dodds’s Testing Trophy replaces the classic testing pyramid. Static analysis is free and catches the largest class of bugs with zero test-writing effort. Integration tests are the largest layer — most of the testing time goes there. Database tests (pgTAP) are Supabase-specific and RLS-critical — every new RLS policy has a pgTAP test. E2E tests are the smallest slice but catch what integration cannot.</w:t>
      </w:r>
    </w:p>
    <w:p>
      <w:pPr>
        <w:pStyle w:val="BodyText"/>
      </w:pPr>
      <w:r>
        <w:t xml:space="preserve">The shape is</w:t>
      </w:r>
      <w:r>
        <w:t xml:space="preserve"> </w:t>
      </w:r>
      <w:r>
        <w:t xml:space="preserve">“risk-based testing”</w:t>
      </w:r>
      <w:r>
        <w:t xml:space="preserve">: always test auth, payments, RLS policies, and data mutations. Integration-test API routes and critical flows. E2E-test the signup-to-core-feature path. Skip testing purely presentational components and prototype features.</w:t>
      </w:r>
    </w:p>
    <w:bookmarkEnd w:id="61"/>
    <w:bookmarkStart w:id="62" w:name="strong-bookends-weak-middle"/>
    <w:p>
      <w:pPr>
        <w:pStyle w:val="Heading2"/>
      </w:pPr>
      <w:r>
        <w:t xml:space="preserve">Strong bookends, weak middle</w:t>
      </w:r>
    </w:p>
    <w:p>
      <w:pPr>
        <w:pStyle w:val="FirstParagraph"/>
      </w:pPr>
      <w:r>
        <w:t xml:space="preserve">Looking at chapters 3 and 4 together, the FringeIsland development system has a strong top (vision, entities, capabilities, feature specs are thoroughly described), a strong bottom (DoD is explicit and well-structured), and a weak middle (how items move through maturity is named but not described; the build loop is not in any skill; the Given/When/Then to test translation has no home).</w:t>
      </w:r>
    </w:p>
    <w:p>
      <w:pPr>
        <w:pStyle w:val="BodyText"/>
      </w:pPr>
      <w:r>
        <w:t xml:space="preserve">The highest-leverage improvement available is probably expanding the feature-development skill to cover the build loop explicitly, the Given/When/Then to test translation, and the branching/commit hygiene. Not a new skill — the existing one, made fit for purpose.</w:t>
      </w:r>
    </w:p>
    <w:bookmarkEnd w:id="62"/>
    <w:bookmarkStart w:id="63" w:name="gaps-on-this-axis-3"/>
    <w:p>
      <w:pPr>
        <w:pStyle w:val="Heading2"/>
      </w:pPr>
      <w:r>
        <w:t xml:space="preserve">Gaps on this axis</w:t>
      </w:r>
    </w:p>
    <w:p>
      <w:pPr>
        <w:pStyle w:val="Compact"/>
        <w:numPr>
          <w:ilvl w:val="0"/>
          <w:numId w:val="1015"/>
        </w:numPr>
      </w:pPr>
      <w:r>
        <w:t xml:space="preserve">G-11 — TDD overstated vs risk-based. Root CLAUDE.md mandates TDD. The research report permits risk-based testing as an alternative. Reconcile or justify.</w:t>
      </w:r>
    </w:p>
    <w:p>
      <w:pPr>
        <w:pStyle w:val="Compact"/>
        <w:numPr>
          <w:ilvl w:val="0"/>
          <w:numId w:val="1015"/>
        </w:numPr>
      </w:pPr>
      <w:r>
        <w:t xml:space="preserve">G-12 — Given/When/Then to test translation. High priority. The single highest-leverage practice from the research — one artifact serving as spec, tests, and AI prompt — has no documented translation mechanic.</w:t>
      </w:r>
    </w:p>
    <w:p>
      <w:pPr>
        <w:pStyle w:val="Compact"/>
        <w:numPr>
          <w:ilvl w:val="0"/>
          <w:numId w:val="1015"/>
        </w:numPr>
      </w:pPr>
      <w:r>
        <w:t xml:space="preserve">G-13 — Build hygiene unspecified. No branching strategy, no commit cadence, no PR shape documented. For 50+ contributors the absence is load-bearing.</w:t>
      </w:r>
    </w:p>
    <w:bookmarkEnd w:id="63"/>
    <w:bookmarkEnd w:id="64"/>
    <w:bookmarkStart w:id="75" w:name="agent-routing"/>
    <w:p>
      <w:pPr>
        <w:pStyle w:val="Heading1"/>
      </w:pPr>
      <w:r>
        <w:t xml:space="preserve">5 — Agent routing</w:t>
      </w:r>
    </w:p>
    <w:p>
      <w:pPr>
        <w:pStyle w:val="FirstParagraph"/>
      </w:pPr>
      <w:r>
        <w:t xml:space="preserve">The routing axis. How an agent (or a human) enters the FringeIsland repo and builds context progressively from project orientation down to the specific task at hand. The entry path for every contributor, every session.</w:t>
      </w:r>
    </w:p>
    <w:p>
      <w:pPr>
        <w:pStyle w:val="BodyText"/>
      </w:pPr>
      <w:r>
        <w:drawing>
          <wp:inline>
            <wp:extent cx="5760720" cy="8641080"/>
            <wp:effectExtent b="0" l="0" r="0" t="0"/>
            <wp:docPr descr="" title="" id="66" name="Picture"/>
            <a:graphic>
              <a:graphicData uri="http://schemas.openxmlformats.org/drawingml/2006/picture">
                <pic:pic>
                  <pic:nvPicPr>
                    <pic:cNvPr descr="C:/Users/stefa/AppData/Local/Temp/fi_docx_v3_extract2/word/media/image6.png" id="67" name="Picture"/>
                    <pic:cNvPicPr>
                      <a:picLocks noChangeArrowheads="1" noChangeAspect="1"/>
                    </pic:cNvPicPr>
                  </pic:nvPicPr>
                  <pic:blipFill>
                    <a:blip r:embed="rId65"/>
                    <a:stretch>
                      <a:fillRect/>
                    </a:stretch>
                  </pic:blipFill>
                  <pic:spPr bwMode="auto">
                    <a:xfrm>
                      <a:off x="0" y="0"/>
                      <a:ext cx="5760720" cy="8641080"/>
                    </a:xfrm>
                    <a:prstGeom prst="rect">
                      <a:avLst/>
                    </a:prstGeom>
                    <a:noFill/>
                    <a:ln w="9525">
                      <a:noFill/>
                      <a:headEnd/>
                      <a:tailEnd/>
                    </a:ln>
                  </pic:spPr>
                </pic:pic>
              </a:graphicData>
            </a:graphic>
          </wp:inline>
        </w:drawing>
      </w:r>
    </w:p>
    <w:bookmarkStart w:id="68" w:name="what-this-shows-4"/>
    <w:p>
      <w:pPr>
        <w:pStyle w:val="Heading2"/>
      </w:pPr>
      <w:r>
        <w:t xml:space="preserve">What this shows</w:t>
      </w:r>
    </w:p>
    <w:p>
      <w:pPr>
        <w:pStyle w:val="FirstParagraph"/>
      </w:pPr>
      <w:r>
        <w:t xml:space="preserve">Two columns. The left shows the eight-step context loading order. The right shows the skill selector — at step 4, the agent chooses which of the four skills matches the task.</w:t>
      </w:r>
    </w:p>
    <w:bookmarkEnd w:id="68"/>
    <w:bookmarkStart w:id="69" w:name="load-progressively-never-all-at-once"/>
    <w:p>
      <w:pPr>
        <w:pStyle w:val="Heading2"/>
      </w:pPr>
      <w:r>
        <w:t xml:space="preserve">Load progressively, never all at once</w:t>
      </w:r>
    </w:p>
    <w:p>
      <w:pPr>
        <w:pStyle w:val="FirstParagraph"/>
      </w:pPr>
      <w:r>
        <w:t xml:space="preserve">The canonical rule:</w:t>
      </w:r>
      <w:r>
        <w:t xml:space="preserve"> </w:t>
      </w:r>
      <w:r>
        <w:t xml:space="preserve">“Load progressively. Never load all features at once — pull only what the task actually needs.”</w:t>
      </w:r>
      <w:r>
        <w:t xml:space="preserve"> </w:t>
      </w:r>
      <w:r>
        <w:t xml:space="preserve">An agent that loads everything available at the start of a session spends its context budget on orientation rather than work. The eight-step order is tuned to pay for exactly as much context as the task needs, then stop.</w:t>
      </w:r>
    </w:p>
    <w:bookmarkEnd w:id="69"/>
    <w:bookmarkStart w:id="70" w:name="the-eight-steps"/>
    <w:p>
      <w:pPr>
        <w:pStyle w:val="Heading2"/>
      </w:pPr>
      <w:r>
        <w:t xml:space="preserve">The eight steps</w:t>
      </w:r>
    </w:p>
    <w:p>
      <w:pPr>
        <w:pStyle w:val="Compact"/>
        <w:numPr>
          <w:ilvl w:val="0"/>
          <w:numId w:val="1016"/>
        </w:numPr>
      </w:pPr>
      <w:r>
        <w:t xml:space="preserve">1. Root CLAUDE.md. Project orientation and routing table. Where to look, which skill to load. The entry document.</w:t>
      </w:r>
    </w:p>
    <w:p>
      <w:pPr>
        <w:pStyle w:val="Compact"/>
        <w:numPr>
          <w:ilvl w:val="0"/>
          <w:numId w:val="1016"/>
        </w:numPr>
      </w:pPr>
      <w:r>
        <w:t xml:space="preserve">2. AGENTS.md. Always-do / ask-first / never-do boundaries. What you may and may not do.</w:t>
      </w:r>
    </w:p>
    <w:p>
      <w:pPr>
        <w:pStyle w:val="Compact"/>
        <w:numPr>
          <w:ilvl w:val="0"/>
          <w:numId w:val="1016"/>
        </w:numPr>
      </w:pPr>
      <w:r>
        <w:t xml:space="preserve">3. PROCESS.md. Way of working. Cadence, DoR, DoD, tagging. WHAT and WHEN.</w:t>
      </w:r>
    </w:p>
    <w:p>
      <w:pPr>
        <w:pStyle w:val="Compact"/>
        <w:numPr>
          <w:ilvl w:val="0"/>
          <w:numId w:val="1016"/>
        </w:numPr>
      </w:pPr>
      <w:r>
        <w:t xml:space="preserve">4. Matched skill. One of four under .claude/skills/. HOW. The execution layer.</w:t>
      </w:r>
    </w:p>
    <w:p>
      <w:pPr>
        <w:pStyle w:val="Compact"/>
        <w:numPr>
          <w:ilvl w:val="0"/>
          <w:numId w:val="1016"/>
        </w:numPr>
      </w:pPr>
      <w:r>
        <w:t xml:space="preserve">5. Cascade CLAUDE.md files. The tier-level CLAUDE.md for where the work lives, plus any sub-tier, entity, and sub-entity CLAUDE.md files in the cascade. Each is a delta from the level above.</w:t>
      </w:r>
    </w:p>
    <w:p>
      <w:pPr>
        <w:pStyle w:val="Compact"/>
        <w:numPr>
          <w:ilvl w:val="0"/>
          <w:numId w:val="1016"/>
        </w:numPr>
      </w:pPr>
      <w:r>
        <w:t xml:space="preserve">6. Owner README.md. The entity (Hub, Platform Core, Journey Studio, specific vertical). Entity-level overview, list of specs, status.</w:t>
      </w:r>
    </w:p>
    <w:p>
      <w:pPr>
        <w:pStyle w:val="Compact"/>
        <w:numPr>
          <w:ilvl w:val="0"/>
          <w:numId w:val="1016"/>
        </w:numPr>
      </w:pPr>
      <w:r>
        <w:t xml:space="preserve">7. Feature spec. The canonical source of acceptance criteria for the thing being built.</w:t>
      </w:r>
    </w:p>
    <w:p>
      <w:pPr>
        <w:pStyle w:val="Compact"/>
        <w:numPr>
          <w:ilvl w:val="0"/>
          <w:numId w:val="1016"/>
        </w:numPr>
      </w:pPr>
      <w:r>
        <w:t xml:space="preserve">8. Task file. Today’s focused unit of work. The build loop from chapter 4 begins here.</w:t>
      </w:r>
    </w:p>
    <w:bookmarkEnd w:id="70"/>
    <w:bookmarkStart w:id="71" w:name="the-claude.md-cascade"/>
    <w:p>
      <w:pPr>
        <w:pStyle w:val="Heading2"/>
      </w:pPr>
      <w:r>
        <w:t xml:space="preserve">The CLAUDE.md cascade</w:t>
      </w:r>
    </w:p>
    <w:p>
      <w:pPr>
        <w:pStyle w:val="FirstParagraph"/>
      </w:pPr>
      <w:r>
        <w:t xml:space="preserve">Since revision 3, step 5 has grown from</w:t>
      </w:r>
      <w:r>
        <w:t xml:space="preserve"> </w:t>
      </w:r>
      <w:r>
        <w:t xml:space="preserve">“the five tier CLAUDE.md files”</w:t>
      </w:r>
      <w:r>
        <w:t xml:space="preserve"> </w:t>
      </w:r>
      <w:r>
        <w:t xml:space="preserve">into a five-level cascade: root → tier (</w:t>
      </w:r>
      <w:r>
        <w:rPr>
          <w:rStyle w:val="VerbatimChar"/>
        </w:rPr>
        <w:t xml:space="preserve">docs/{tier}/CLAUDE.md</w:t>
      </w:r>
      <w:r>
        <w:t xml:space="preserve">) → sub-tier (platform only:</w:t>
      </w:r>
      <w:r>
        <w:t xml:space="preserve"> </w:t>
      </w:r>
      <w:r>
        <w:rPr>
          <w:rStyle w:val="VerbatimChar"/>
        </w:rPr>
        <w:t xml:space="preserve">core/</w:t>
      </w:r>
      <w:r>
        <w:t xml:space="preserve">,</w:t>
      </w:r>
      <w:r>
        <w:t xml:space="preserve"> </w:t>
      </w:r>
      <w:r>
        <w:rPr>
          <w:rStyle w:val="VerbatimChar"/>
        </w:rPr>
        <w:t xml:space="preserve">domain/</w:t>
      </w:r>
      <w:r>
        <w:t xml:space="preserve">) → entity (e.g. </w:t>
      </w:r>
      <w:r>
        <w:rPr>
          <w:rStyle w:val="VerbatimChar"/>
        </w:rPr>
        <w:t xml:space="preserve">products/hub/</w:t>
      </w:r>
      <w:r>
        <w:t xml:space="preserve">,</w:t>
      </w:r>
      <w:r>
        <w:t xml:space="preserve"> </w:t>
      </w:r>
      <w:r>
        <w:rPr>
          <w:rStyle w:val="VerbatimChar"/>
        </w:rPr>
        <w:t xml:space="preserve">studios/universe-studio/</w:t>
      </w:r>
      <w:r>
        <w:t xml:space="preserve">) → sub-entity where divergence is sharp (canonical case:</w:t>
      </w:r>
      <w:r>
        <w:t xml:space="preserve"> </w:t>
      </w:r>
      <w:r>
        <w:rPr>
          <w:rStyle w:val="VerbatimChar"/>
        </w:rPr>
        <w:t xml:space="preserve">world-studio</w:t>
      </w:r>
      <w:r>
        <w:t xml:space="preserve"> </w:t>
      </w:r>
      <w:r>
        <w:t xml:space="preserve">/</w:t>
      </w:r>
      <w:r>
        <w:t xml:space="preserve"> </w:t>
      </w:r>
      <w:r>
        <w:rPr>
          <w:rStyle w:val="VerbatimChar"/>
        </w:rPr>
        <w:t xml:space="preserve">arc-studio</w:t>
      </w:r>
      <w:r>
        <w:t xml:space="preserve"> </w:t>
      </w:r>
      <w:r>
        <w:t xml:space="preserve">/</w:t>
      </w:r>
      <w:r>
        <w:t xml:space="preserve"> </w:t>
      </w:r>
      <w:r>
        <w:rPr>
          <w:rStyle w:val="VerbatimChar"/>
        </w:rPr>
        <w:t xml:space="preserve">journey-studio</w:t>
      </w:r>
      <w:r>
        <w:t xml:space="preserve"> </w:t>
      </w:r>
      <w:r>
        <w:t xml:space="preserve">under Universe Studio, per ADR-U026). Twenty CLAUDE.md files exist under</w:t>
      </w:r>
      <w:r>
        <w:t xml:space="preserve"> </w:t>
      </w:r>
      <w:r>
        <w:rPr>
          <w:rStyle w:val="VerbatimChar"/>
        </w:rPr>
        <w:t xml:space="preserve">docs/</w:t>
      </w:r>
      <w:r>
        <w:t xml:space="preserve"> </w:t>
      </w:r>
      <w:r>
        <w:t xml:space="preserve">as of this revision.</w:t>
      </w:r>
    </w:p>
    <w:p>
      <w:pPr>
        <w:pStyle w:val="BodyText"/>
      </w:pPr>
      <w:r>
        <w:t xml:space="preserve">Each level adds only the rules specific to its level — no level repeats what an upper level covers; no level holds rules that belong deeper. Root CLAUDE.md carries the canonical five-row content policy saying what each level must, may, and must not contain. The doc-health-check skill verifies cascade integrity at cycle boundaries (Section 9): presence, content categorisation, load-order pointer integrity.</w:t>
      </w:r>
    </w:p>
    <w:bookmarkEnd w:id="71"/>
    <w:bookmarkStart w:id="72" w:name="the-skill-selector"/>
    <w:p>
      <w:pPr>
        <w:pStyle w:val="Heading2"/>
      </w:pPr>
      <w:r>
        <w:t xml:space="preserve">The skill selector</w:t>
      </w:r>
    </w:p>
    <w:p>
      <w:pPr>
        <w:pStyle w:val="FirstParagraph"/>
      </w:pPr>
      <w:r>
        <w:t xml:space="preserve">PROCESS.md says what and when. The four skills say how. They live under .claude/skills/ and are loaded at step 4 based on the task type.</w:t>
      </w:r>
    </w:p>
    <w:p>
      <w:pPr>
        <w:pStyle w:val="Compact"/>
        <w:numPr>
          <w:ilvl w:val="0"/>
          <w:numId w:val="1017"/>
        </w:numPr>
      </w:pPr>
      <w:r>
        <w:t xml:space="preserve">ecosystem-decomposition. Load when scoping, spec-writing, or mapping. Decomposing vision → product → feature → story → task.</w:t>
      </w:r>
    </w:p>
    <w:p>
      <w:pPr>
        <w:pStyle w:val="Compact"/>
        <w:numPr>
          <w:ilvl w:val="0"/>
          <w:numId w:val="1017"/>
        </w:numPr>
      </w:pPr>
      <w:r>
        <w:t xml:space="preserve">feature-development. Load when implementing, building, coding. Features at maturity 4 or higher. Generates tasks, writes code against acceptance criteria, runs lint and tests, updates maturity to 6-done.</w:t>
      </w:r>
    </w:p>
    <w:p>
      <w:pPr>
        <w:pStyle w:val="Compact"/>
        <w:numPr>
          <w:ilvl w:val="0"/>
          <w:numId w:val="1017"/>
        </w:numPr>
      </w:pPr>
      <w:r>
        <w:t xml:space="preserve">wave-planning. Load when asking about wave scope, progress, DoD, or retrospective.</w:t>
      </w:r>
      <w:r>
        <w:t xml:space="preserve"> </w:t>
      </w:r>
      <w:r>
        <w:t xml:space="preserve">“What’s left in Ferd?”</w:t>
      </w:r>
    </w:p>
    <w:p>
      <w:pPr>
        <w:pStyle w:val="Compact"/>
        <w:numPr>
          <w:ilvl w:val="0"/>
          <w:numId w:val="1017"/>
        </w:numPr>
      </w:pPr>
      <w:r>
        <w:t xml:space="preserve">doc-health-check. Load at cycle boundaries or after cross-cutting changes. Runs checks across the documentation tree — including the cascade-integrity checks above — to catch drift.</w:t>
      </w:r>
    </w:p>
    <w:bookmarkEnd w:id="72"/>
    <w:bookmarkStart w:id="73" w:name="why-this-axis-matters-1"/>
    <w:p>
      <w:pPr>
        <w:pStyle w:val="Heading2"/>
      </w:pPr>
      <w:r>
        <w:t xml:space="preserve">Why this axis matters</w:t>
      </w:r>
    </w:p>
    <w:p>
      <w:pPr>
        <w:pStyle w:val="FirstParagraph"/>
      </w:pPr>
      <w:r>
        <w:t xml:space="preserve">Chapters 1-4 describe what exists and how work moves through it. Chapter 5 describes how a new participant finds their place in it. It is the onboarding path.</w:t>
      </w:r>
    </w:p>
    <w:p>
      <w:pPr>
        <w:pStyle w:val="BodyText"/>
      </w:pPr>
      <w:r>
        <w:t xml:space="preserve">The quality of this axis is what lets FringeIsland scale from solo operator to fifty contributors without central coordination. If root CLAUDE.md is clear, the cascade from there is self-routing. If root is unclear, every contributor reinvents the routing from scratch.</w:t>
      </w:r>
    </w:p>
    <w:p>
      <w:pPr>
        <w:pStyle w:val="BodyText"/>
      </w:pPr>
      <w:r>
        <w:t xml:space="preserve">A tell for whether the axis is healthy: new contributors should be able to start useful work within 30 minutes of opening the repo. The eight-step path, followed in order, should get them there.</w:t>
      </w:r>
    </w:p>
    <w:bookmarkEnd w:id="73"/>
    <w:bookmarkStart w:id="74" w:name="gaps-on-this-axis-4"/>
    <w:p>
      <w:pPr>
        <w:pStyle w:val="Heading2"/>
      </w:pPr>
      <w:r>
        <w:t xml:space="preserve">Gaps on this axis</w:t>
      </w:r>
    </w:p>
    <w:p>
      <w:pPr>
        <w:pStyle w:val="Compact"/>
        <w:numPr>
          <w:ilvl w:val="0"/>
          <w:numId w:val="1018"/>
        </w:numPr>
      </w:pPr>
      <w:r>
        <w:t xml:space="preserve">G-15 — Cross-tier entry order. For cross-tier features (Hub UI + Platform data model), which tier CLAUDE.md loads first is undefined. Wrong order means less-relevant constraints get internalized first.</w:t>
      </w:r>
    </w:p>
    <w:p>
      <w:pPr>
        <w:pStyle w:val="Compact"/>
        <w:numPr>
          <w:ilvl w:val="0"/>
          <w:numId w:val="1018"/>
        </w:numPr>
      </w:pPr>
      <w:r>
        <w:t xml:space="preserve">G-16 — Skill chaining undocumented. Most real work crosses skills. The chains are currently tacit — no document says</w:t>
      </w:r>
      <w:r>
        <w:t xml:space="preserve"> </w:t>
      </w:r>
      <w:r>
        <w:t xml:space="preserve">“after X, load Y.”</w:t>
      </w:r>
    </w:p>
    <w:p>
      <w:pPr>
        <w:pStyle w:val="Compact"/>
        <w:numPr>
          <w:ilvl w:val="0"/>
          <w:numId w:val="1018"/>
        </w:numPr>
      </w:pPr>
      <w:r>
        <w:t xml:space="preserve">G-17 — AGENTS.md precedence across tools. Three AGENTS.md files exist (root + configs/codex + configs/opencode). No precedence rule is written.</w:t>
      </w:r>
    </w:p>
    <w:p>
      <w:pPr>
        <w:pStyle w:val="Compact"/>
        <w:numPr>
          <w:ilvl w:val="0"/>
          <w:numId w:val="1018"/>
        </w:numPr>
      </w:pPr>
      <w:r>
        <w:t xml:space="preserve">G-30 — Tier CLAUDE.md files contain miscategorised entity-specific content. Hub-specific rules sit in</w:t>
      </w:r>
      <w:r>
        <w:t xml:space="preserve"> </w:t>
      </w:r>
      <w:r>
        <w:rPr>
          <w:rStyle w:val="VerbatimChar"/>
        </w:rPr>
        <w:t xml:space="preserve">products/CLAUDE.md</w:t>
      </w:r>
      <w:r>
        <w:t xml:space="preserve"> </w:t>
      </w:r>
      <w:r>
        <w:t xml:space="preserve">and Core/Domain-specific guidance is folded into</w:t>
      </w:r>
      <w:r>
        <w:t xml:space="preserve"> </w:t>
      </w:r>
      <w:r>
        <w:rPr>
          <w:rStyle w:val="VerbatimChar"/>
        </w:rPr>
        <w:t xml:space="preserve">platform/CLAUDE.md</w:t>
      </w:r>
      <w:r>
        <w:t xml:space="preserve">; the cascade-plan Session 4 walk migrates them down to entity and sub-tier files.</w:t>
      </w:r>
    </w:p>
    <w:bookmarkEnd w:id="74"/>
    <w:bookmarkEnd w:id="75"/>
    <w:bookmarkStart w:id="84" w:name="consolidated-gaps-register"/>
    <w:p>
      <w:pPr>
        <w:pStyle w:val="Heading1"/>
      </w:pPr>
      <w:r>
        <w:t xml:space="preserve">Consolidated gaps register</w:t>
      </w:r>
    </w:p>
    <w:p>
      <w:pPr>
        <w:pStyle w:val="FirstParagraph"/>
      </w:pPr>
      <w:r>
        <w:t xml:space="preserve">Twenty-seven known documentation and design gaps across the FringeIsland development system as of 2026-06-10. The canonical register is</w:t>
      </w:r>
      <w:r>
        <w:t xml:space="preserve"> </w:t>
      </w:r>
      <w:r>
        <w:rPr>
          <w:rStyle w:val="VerbatimChar"/>
        </w:rPr>
        <w:t xml:space="preserve">docs/ecosystem/how-we-work/gaps.md</w:t>
      </w:r>
      <w:r>
        <w:t xml:space="preserve"> </w:t>
      </w:r>
      <w:r>
        <w:t xml:space="preserve">— when a gap is resolved there, it is removed both from the register and from the relevant chapter. New gaps surfaced in later sessions are added with the next sequential ID; IDs are monotonic, and closed IDs (G-08, G-21, G-24, G-26, G-31, G-33) are not reused.</w:t>
      </w:r>
    </w:p>
    <w:p>
      <w:pPr>
        <w:pStyle w:val="BodyText"/>
      </w:pPr>
      <w:r>
        <w:t xml:space="preserve">Priority is a relative ranking. High-priority gaps compound silently, affect multiple future decisions, or block scale. Medium-priority gaps affect clarity and contributor onboarding but are not blocking today. Low-priority gaps are single-word fixes or edge cases.</w:t>
      </w:r>
    </w:p>
    <w:tbl>
      <w:tblPr>
        <w:tblStyle w:val="Table"/>
        <w:tblW w:type="pct" w:w="5000"/>
        <w:tblLayout w:type="fixed"/>
        <w:tblLook w:firstRow="1" w:lastRow="0" w:firstColumn="0" w:lastColumn="0" w:noHBand="0" w:noVBand="0" w:val="0020"/>
      </w:tblPr>
      <w:tblGrid>
        <w:gridCol w:w="528"/>
        <w:gridCol w:w="1408"/>
        <w:gridCol w:w="5104"/>
        <w:gridCol w:w="880"/>
      </w:tblGrid>
      <w:tr>
        <w:trPr>
          <w:tblHeader w:val="on"/>
        </w:trPr>
        <w:tc>
          <w:tcPr/>
          <w:p>
            <w:pPr>
              <w:pStyle w:val="Compact"/>
            </w:pPr>
            <w:r>
              <w:t xml:space="preserve">ID</w:t>
            </w:r>
          </w:p>
        </w:tc>
        <w:tc>
          <w:tcPr/>
          <w:p>
            <w:pPr>
              <w:pStyle w:val="Compact"/>
            </w:pPr>
            <w:r>
              <w:t xml:space="preserve">Axis</w:t>
            </w:r>
          </w:p>
        </w:tc>
        <w:tc>
          <w:tcPr/>
          <w:p>
            <w:pPr>
              <w:pStyle w:val="Compact"/>
            </w:pPr>
            <w:r>
              <w:t xml:space="preserve">Gap</w:t>
            </w:r>
          </w:p>
        </w:tc>
        <w:tc>
          <w:tcPr/>
          <w:p>
            <w:pPr>
              <w:pStyle w:val="Compact"/>
            </w:pPr>
            <w:r>
              <w:t xml:space="preserve">Priority</w:t>
            </w:r>
          </w:p>
        </w:tc>
      </w:tr>
      <w:tr>
        <w:tc>
          <w:tcPr/>
          <w:p>
            <w:pPr>
              <w:pStyle w:val="Compact"/>
            </w:pPr>
            <w:r>
              <w:t xml:space="preserve">G-01</w:t>
            </w:r>
          </w:p>
        </w:tc>
        <w:tc>
          <w:tcPr/>
          <w:p>
            <w:pPr>
              <w:pStyle w:val="Compact"/>
            </w:pPr>
            <w:r>
              <w:t xml:space="preserve">Decomposition</w:t>
            </w:r>
          </w:p>
        </w:tc>
        <w:tc>
          <w:tcPr/>
          <w:p>
            <w:pPr>
              <w:pStyle w:val="Compact"/>
            </w:pPr>
            <w:r>
              <w:t xml:space="preserve">Whisp architectural placement (L2)</w:t>
            </w:r>
          </w:p>
        </w:tc>
        <w:tc>
          <w:tcPr/>
          <w:p>
            <w:pPr>
              <w:pStyle w:val="Compact"/>
            </w:pPr>
            <w:r>
              <w:t xml:space="preserve">Medium</w:t>
            </w:r>
          </w:p>
        </w:tc>
      </w:tr>
      <w:tr>
        <w:tc>
          <w:tcPr/>
          <w:p>
            <w:pPr>
              <w:pStyle w:val="Compact"/>
            </w:pPr>
            <w:r>
              <w:t xml:space="preserve">G-02</w:t>
            </w:r>
          </w:p>
        </w:tc>
        <w:tc>
          <w:tcPr/>
          <w:p>
            <w:pPr>
              <w:pStyle w:val="Compact"/>
            </w:pPr>
            <w:r>
              <w:t xml:space="preserve">Decomposition</w:t>
            </w:r>
          </w:p>
        </w:tc>
        <w:tc>
          <w:tcPr/>
          <w:p>
            <w:pPr>
              <w:pStyle w:val="Compact"/>
            </w:pPr>
            <w:r>
              <w:t xml:space="preserve">Cross-product feature sync (L4)</w:t>
            </w:r>
          </w:p>
        </w:tc>
        <w:tc>
          <w:tcPr/>
          <w:p>
            <w:pPr>
              <w:pStyle w:val="Compact"/>
            </w:pPr>
            <w:r>
              <w:t xml:space="preserve">Medium</w:t>
            </w:r>
          </w:p>
        </w:tc>
      </w:tr>
      <w:tr>
        <w:tc>
          <w:tcPr/>
          <w:p>
            <w:pPr>
              <w:pStyle w:val="Compact"/>
            </w:pPr>
            <w:r>
              <w:t xml:space="preserve">G-03</w:t>
            </w:r>
          </w:p>
        </w:tc>
        <w:tc>
          <w:tcPr/>
          <w:p>
            <w:pPr>
              <w:pStyle w:val="Compact"/>
            </w:pPr>
            <w:r>
              <w:t xml:space="preserve">Decomposition</w:t>
            </w:r>
          </w:p>
        </w:tc>
        <w:tc>
          <w:tcPr/>
          <w:p>
            <w:pPr>
              <w:pStyle w:val="Compact"/>
            </w:pPr>
            <w:r>
              <w:t xml:space="preserve">Vertical specs are scaffolds (cross-cut)</w:t>
            </w:r>
          </w:p>
        </w:tc>
        <w:tc>
          <w:tcPr/>
          <w:p>
            <w:pPr>
              <w:pStyle w:val="Compact"/>
            </w:pPr>
            <w:r>
              <w:t xml:space="preserve">High</w:t>
            </w:r>
          </w:p>
        </w:tc>
      </w:tr>
      <w:tr>
        <w:tc>
          <w:tcPr/>
          <w:p>
            <w:pPr>
              <w:pStyle w:val="Compact"/>
            </w:pPr>
            <w:r>
              <w:t xml:space="preserve">G-04</w:t>
            </w:r>
          </w:p>
        </w:tc>
        <w:tc>
          <w:tcPr/>
          <w:p>
            <w:pPr>
              <w:pStyle w:val="Compact"/>
            </w:pPr>
            <w:r>
              <w:t xml:space="preserve">Cadence</w:t>
            </w:r>
          </w:p>
        </w:tc>
        <w:tc>
          <w:tcPr/>
          <w:p>
            <w:pPr>
              <w:pStyle w:val="Compact"/>
            </w:pPr>
            <w:r>
              <w:t xml:space="preserve">Wave ↔ roadmap relationship</w:t>
            </w:r>
          </w:p>
        </w:tc>
        <w:tc>
          <w:tcPr/>
          <w:p>
            <w:pPr>
              <w:pStyle w:val="Compact"/>
            </w:pPr>
            <w:r>
              <w:t xml:space="preserve">Medium</w:t>
            </w:r>
          </w:p>
        </w:tc>
      </w:tr>
      <w:tr>
        <w:tc>
          <w:tcPr/>
          <w:p>
            <w:pPr>
              <w:pStyle w:val="Compact"/>
            </w:pPr>
            <w:r>
              <w:t xml:space="preserve">G-05</w:t>
            </w:r>
          </w:p>
        </w:tc>
        <w:tc>
          <w:tcPr/>
          <w:p>
            <w:pPr>
              <w:pStyle w:val="Compact"/>
            </w:pPr>
            <w:r>
              <w:t xml:space="preserve">Cadence</w:t>
            </w:r>
          </w:p>
        </w:tc>
        <w:tc>
          <w:tcPr/>
          <w:p>
            <w:pPr>
              <w:pStyle w:val="Compact"/>
            </w:pPr>
            <w:r>
              <w:t xml:space="preserve">Review queue not operationalized</w:t>
            </w:r>
          </w:p>
        </w:tc>
        <w:tc>
          <w:tcPr/>
          <w:p>
            <w:pPr>
              <w:pStyle w:val="Compact"/>
            </w:pPr>
            <w:r>
              <w:t xml:space="preserve">High</w:t>
            </w:r>
          </w:p>
        </w:tc>
      </w:tr>
      <w:tr>
        <w:tc>
          <w:tcPr/>
          <w:p>
            <w:pPr>
              <w:pStyle w:val="Compact"/>
            </w:pPr>
            <w:r>
              <w:t xml:space="preserve">G-06</w:t>
            </w:r>
          </w:p>
        </w:tc>
        <w:tc>
          <w:tcPr/>
          <w:p>
            <w:pPr>
              <w:pStyle w:val="Compact"/>
            </w:pPr>
            <w:r>
              <w:t xml:space="preserve">Cadence</w:t>
            </w:r>
          </w:p>
        </w:tc>
        <w:tc>
          <w:tcPr/>
          <w:p>
            <w:pPr>
              <w:pStyle w:val="Compact"/>
            </w:pPr>
            <w:r>
              <w:t xml:space="preserve">Multi-agent task locking</w:t>
            </w:r>
          </w:p>
        </w:tc>
        <w:tc>
          <w:tcPr/>
          <w:p>
            <w:pPr>
              <w:pStyle w:val="Compact"/>
            </w:pPr>
            <w:r>
              <w:t xml:space="preserve">High</w:t>
            </w:r>
          </w:p>
        </w:tc>
      </w:tr>
      <w:tr>
        <w:tc>
          <w:tcPr/>
          <w:p>
            <w:pPr>
              <w:pStyle w:val="Compact"/>
            </w:pPr>
            <w:r>
              <w:t xml:space="preserve">G-07</w:t>
            </w:r>
          </w:p>
        </w:tc>
        <w:tc>
          <w:tcPr/>
          <w:p>
            <w:pPr>
              <w:pStyle w:val="Compact"/>
            </w:pPr>
            <w:r>
              <w:t xml:space="preserve">Cadence</w:t>
            </w:r>
          </w:p>
        </w:tc>
        <w:tc>
          <w:tcPr/>
          <w:p>
            <w:pPr>
              <w:pStyle w:val="Compact"/>
            </w:pPr>
            <w:r>
              <w:t xml:space="preserve">Ferd DoD empty</w:t>
            </w:r>
          </w:p>
        </w:tc>
        <w:tc>
          <w:tcPr/>
          <w:p>
            <w:pPr>
              <w:pStyle w:val="Compact"/>
            </w:pPr>
            <w:r>
              <w:t xml:space="preserve">Medium</w:t>
            </w:r>
          </w:p>
        </w:tc>
      </w:tr>
      <w:tr>
        <w:tc>
          <w:tcPr/>
          <w:p>
            <w:pPr>
              <w:pStyle w:val="Compact"/>
            </w:pPr>
            <w:r>
              <w:t xml:space="preserve">G-09</w:t>
            </w:r>
          </w:p>
        </w:tc>
        <w:tc>
          <w:tcPr/>
          <w:p>
            <w:pPr>
              <w:pStyle w:val="Compact"/>
            </w:pPr>
            <w:r>
              <w:t xml:space="preserve">Execution</w:t>
            </w:r>
          </w:p>
        </w:tc>
        <w:tc>
          <w:tcPr/>
          <w:p>
            <w:pPr>
              <w:pStyle w:val="Compact"/>
            </w:pPr>
            <w:r>
              <w:t xml:space="preserve">Refinement ritual undocumented</w:t>
            </w:r>
          </w:p>
        </w:tc>
        <w:tc>
          <w:tcPr/>
          <w:p>
            <w:pPr>
              <w:pStyle w:val="Compact"/>
            </w:pPr>
            <w:r>
              <w:t xml:space="preserve">Medium</w:t>
            </w:r>
          </w:p>
        </w:tc>
      </w:tr>
      <w:tr>
        <w:tc>
          <w:tcPr/>
          <w:p>
            <w:pPr>
              <w:pStyle w:val="Compact"/>
            </w:pPr>
            <w:r>
              <w:t xml:space="preserve">G-10</w:t>
            </w:r>
          </w:p>
        </w:tc>
        <w:tc>
          <w:tcPr/>
          <w:p>
            <w:pPr>
              <w:pStyle w:val="Compact"/>
            </w:pPr>
            <w:r>
              <w:t xml:space="preserve">Execution</w:t>
            </w:r>
          </w:p>
        </w:tc>
        <w:tc>
          <w:tcPr/>
          <w:p>
            <w:pPr>
              <w:pStyle w:val="Compact"/>
            </w:pPr>
            <w:r>
              <w:t xml:space="preserve">Board mechanic unchosen</w:t>
            </w:r>
          </w:p>
        </w:tc>
        <w:tc>
          <w:tcPr/>
          <w:p>
            <w:pPr>
              <w:pStyle w:val="Compact"/>
            </w:pPr>
            <w:r>
              <w:t xml:space="preserve">Medium</w:t>
            </w:r>
          </w:p>
        </w:tc>
      </w:tr>
      <w:tr>
        <w:tc>
          <w:tcPr/>
          <w:p>
            <w:pPr>
              <w:pStyle w:val="Compact"/>
            </w:pPr>
            <w:r>
              <w:t xml:space="preserve">G-11</w:t>
            </w:r>
          </w:p>
        </w:tc>
        <w:tc>
          <w:tcPr/>
          <w:p>
            <w:pPr>
              <w:pStyle w:val="Compact"/>
            </w:pPr>
            <w:r>
              <w:t xml:space="preserve">Execution</w:t>
            </w:r>
          </w:p>
        </w:tc>
        <w:tc>
          <w:tcPr/>
          <w:p>
            <w:pPr>
              <w:pStyle w:val="Compact"/>
            </w:pPr>
            <w:r>
              <w:t xml:space="preserve">TDD overstated vs risk-based</w:t>
            </w:r>
          </w:p>
        </w:tc>
        <w:tc>
          <w:tcPr/>
          <w:p>
            <w:pPr>
              <w:pStyle w:val="Compact"/>
            </w:pPr>
            <w:r>
              <w:t xml:space="preserve">Low</w:t>
            </w:r>
          </w:p>
        </w:tc>
      </w:tr>
      <w:tr>
        <w:tc>
          <w:tcPr/>
          <w:p>
            <w:pPr>
              <w:pStyle w:val="Compact"/>
            </w:pPr>
            <w:r>
              <w:t xml:space="preserve">G-12</w:t>
            </w:r>
          </w:p>
        </w:tc>
        <w:tc>
          <w:tcPr/>
          <w:p>
            <w:pPr>
              <w:pStyle w:val="Compact"/>
            </w:pPr>
            <w:r>
              <w:t xml:space="preserve">Execution</w:t>
            </w:r>
          </w:p>
        </w:tc>
        <w:tc>
          <w:tcPr/>
          <w:p>
            <w:pPr>
              <w:pStyle w:val="Compact"/>
            </w:pPr>
            <w:r>
              <w:t xml:space="preserve">Given/When/Then to test translation</w:t>
            </w:r>
          </w:p>
        </w:tc>
        <w:tc>
          <w:tcPr/>
          <w:p>
            <w:pPr>
              <w:pStyle w:val="Compact"/>
            </w:pPr>
            <w:r>
              <w:t xml:space="preserve">High</w:t>
            </w:r>
          </w:p>
        </w:tc>
      </w:tr>
      <w:tr>
        <w:tc>
          <w:tcPr/>
          <w:p>
            <w:pPr>
              <w:pStyle w:val="Compact"/>
            </w:pPr>
            <w:r>
              <w:t xml:space="preserve">G-13</w:t>
            </w:r>
          </w:p>
        </w:tc>
        <w:tc>
          <w:tcPr/>
          <w:p>
            <w:pPr>
              <w:pStyle w:val="Compact"/>
            </w:pPr>
            <w:r>
              <w:t xml:space="preserve">Execution</w:t>
            </w:r>
          </w:p>
        </w:tc>
        <w:tc>
          <w:tcPr/>
          <w:p>
            <w:pPr>
              <w:pStyle w:val="Compact"/>
            </w:pPr>
            <w:r>
              <w:t xml:space="preserve">Build hygiene unspecified</w:t>
            </w:r>
          </w:p>
        </w:tc>
        <w:tc>
          <w:tcPr/>
          <w:p>
            <w:pPr>
              <w:pStyle w:val="Compact"/>
            </w:pPr>
            <w:r>
              <w:t xml:space="preserve">Medium</w:t>
            </w:r>
          </w:p>
        </w:tc>
      </w:tr>
      <w:tr>
        <w:tc>
          <w:tcPr/>
          <w:p>
            <w:pPr>
              <w:pStyle w:val="Compact"/>
            </w:pPr>
            <w:r>
              <w:t xml:space="preserve">G-14</w:t>
            </w:r>
          </w:p>
        </w:tc>
        <w:tc>
          <w:tcPr/>
          <w:p>
            <w:pPr>
              <w:pStyle w:val="Compact"/>
            </w:pPr>
            <w:r>
              <w:t xml:space="preserve">Execution</w:t>
            </w:r>
          </w:p>
        </w:tc>
        <w:tc>
          <w:tcPr/>
          <w:p>
            <w:pPr>
              <w:pStyle w:val="Compact"/>
            </w:pPr>
            <w:r>
              <w:t xml:space="preserve">Discovery 0→2 flow orphaned</w:t>
            </w:r>
          </w:p>
        </w:tc>
        <w:tc>
          <w:tcPr/>
          <w:p>
            <w:pPr>
              <w:pStyle w:val="Compact"/>
            </w:pPr>
            <w:r>
              <w:t xml:space="preserve">Medium</w:t>
            </w:r>
          </w:p>
        </w:tc>
      </w:tr>
      <w:tr>
        <w:tc>
          <w:tcPr/>
          <w:p>
            <w:pPr>
              <w:pStyle w:val="Compact"/>
            </w:pPr>
            <w:r>
              <w:t xml:space="preserve">G-15</w:t>
            </w:r>
          </w:p>
        </w:tc>
        <w:tc>
          <w:tcPr/>
          <w:p>
            <w:pPr>
              <w:pStyle w:val="Compact"/>
            </w:pPr>
            <w:r>
              <w:t xml:space="preserve">Agent routing</w:t>
            </w:r>
          </w:p>
        </w:tc>
        <w:tc>
          <w:tcPr/>
          <w:p>
            <w:pPr>
              <w:pStyle w:val="Compact"/>
            </w:pPr>
            <w:r>
              <w:t xml:space="preserve">Cross-tier entry order</w:t>
            </w:r>
          </w:p>
        </w:tc>
        <w:tc>
          <w:tcPr/>
          <w:p>
            <w:pPr>
              <w:pStyle w:val="Compact"/>
            </w:pPr>
            <w:r>
              <w:t xml:space="preserve">Medium</w:t>
            </w:r>
          </w:p>
        </w:tc>
      </w:tr>
      <w:tr>
        <w:tc>
          <w:tcPr/>
          <w:p>
            <w:pPr>
              <w:pStyle w:val="Compact"/>
            </w:pPr>
            <w:r>
              <w:t xml:space="preserve">G-16</w:t>
            </w:r>
          </w:p>
        </w:tc>
        <w:tc>
          <w:tcPr/>
          <w:p>
            <w:pPr>
              <w:pStyle w:val="Compact"/>
            </w:pPr>
            <w:r>
              <w:t xml:space="preserve">Agent routing</w:t>
            </w:r>
          </w:p>
        </w:tc>
        <w:tc>
          <w:tcPr/>
          <w:p>
            <w:pPr>
              <w:pStyle w:val="Compact"/>
            </w:pPr>
            <w:r>
              <w:t xml:space="preserve">Skill chaining undocumented</w:t>
            </w:r>
          </w:p>
        </w:tc>
        <w:tc>
          <w:tcPr/>
          <w:p>
            <w:pPr>
              <w:pStyle w:val="Compact"/>
            </w:pPr>
            <w:r>
              <w:t xml:space="preserve">Medium</w:t>
            </w:r>
          </w:p>
        </w:tc>
      </w:tr>
      <w:tr>
        <w:tc>
          <w:tcPr/>
          <w:p>
            <w:pPr>
              <w:pStyle w:val="Compact"/>
            </w:pPr>
            <w:r>
              <w:t xml:space="preserve">G-17</w:t>
            </w:r>
          </w:p>
        </w:tc>
        <w:tc>
          <w:tcPr/>
          <w:p>
            <w:pPr>
              <w:pStyle w:val="Compact"/>
            </w:pPr>
            <w:r>
              <w:t xml:space="preserve">Agent routing</w:t>
            </w:r>
          </w:p>
        </w:tc>
        <w:tc>
          <w:tcPr/>
          <w:p>
            <w:pPr>
              <w:pStyle w:val="Compact"/>
            </w:pPr>
            <w:r>
              <w:t xml:space="preserve">AGENTS.md precedence across tools</w:t>
            </w:r>
          </w:p>
        </w:tc>
        <w:tc>
          <w:tcPr/>
          <w:p>
            <w:pPr>
              <w:pStyle w:val="Compact"/>
            </w:pPr>
            <w:r>
              <w:t xml:space="preserve">Low</w:t>
            </w:r>
          </w:p>
        </w:tc>
      </w:tr>
      <w:tr>
        <w:tc>
          <w:tcPr/>
          <w:p>
            <w:pPr>
              <w:pStyle w:val="Compact"/>
            </w:pPr>
            <w:r>
              <w:t xml:space="preserve">G-18</w:t>
            </w:r>
          </w:p>
        </w:tc>
        <w:tc>
          <w:tcPr/>
          <w:p>
            <w:pPr>
              <w:pStyle w:val="Compact"/>
            </w:pPr>
            <w:r>
              <w:t xml:space="preserve">Execution</w:t>
            </w:r>
          </w:p>
        </w:tc>
        <w:tc>
          <w:tcPr/>
          <w:p>
            <w:pPr>
              <w:pStyle w:val="Compact"/>
            </w:pPr>
            <w:r>
              <w:t xml:space="preserve">Research pathway under-specified</w:t>
            </w:r>
          </w:p>
        </w:tc>
        <w:tc>
          <w:tcPr/>
          <w:p>
            <w:pPr>
              <w:pStyle w:val="Compact"/>
            </w:pPr>
            <w:r>
              <w:t xml:space="preserve">Medium</w:t>
            </w:r>
          </w:p>
        </w:tc>
      </w:tr>
      <w:tr>
        <w:tc>
          <w:tcPr/>
          <w:p>
            <w:pPr>
              <w:pStyle w:val="Compact"/>
            </w:pPr>
            <w:r>
              <w:t xml:space="preserve">G-19</w:t>
            </w:r>
          </w:p>
        </w:tc>
        <w:tc>
          <w:tcPr/>
          <w:p>
            <w:pPr>
              <w:pStyle w:val="Compact"/>
            </w:pPr>
            <w:r>
              <w:t xml:space="preserve">Cadence</w:t>
            </w:r>
          </w:p>
        </w:tc>
        <w:tc>
          <w:tcPr/>
          <w:p>
            <w:pPr>
              <w:pStyle w:val="Compact"/>
            </w:pPr>
            <w:r>
              <w:t xml:space="preserve">Wave-planning skill needs structural review</w:t>
            </w:r>
          </w:p>
        </w:tc>
        <w:tc>
          <w:tcPr/>
          <w:p>
            <w:pPr>
              <w:pStyle w:val="Compact"/>
            </w:pPr>
            <w:r>
              <w:t xml:space="preserve">Medium</w:t>
            </w:r>
          </w:p>
        </w:tc>
      </w:tr>
      <w:tr>
        <w:tc>
          <w:tcPr/>
          <w:p>
            <w:pPr>
              <w:pStyle w:val="Compact"/>
            </w:pPr>
            <w:r>
              <w:t xml:space="preserve">G-20</w:t>
            </w:r>
          </w:p>
        </w:tc>
        <w:tc>
          <w:tcPr/>
          <w:p>
            <w:pPr>
              <w:pStyle w:val="Compact"/>
            </w:pPr>
            <w:r>
              <w:t xml:space="preserve">Decomposition</w:t>
            </w:r>
          </w:p>
        </w:tc>
        <w:tc>
          <w:tcPr/>
          <w:p>
            <w:pPr>
              <w:pStyle w:val="Compact"/>
            </w:pPr>
            <w:r>
              <w:t xml:space="preserve">Reconciliation activity has no defined home</w:t>
            </w:r>
          </w:p>
        </w:tc>
        <w:tc>
          <w:tcPr/>
          <w:p>
            <w:pPr>
              <w:pStyle w:val="Compact"/>
            </w:pPr>
            <w:r>
              <w:t xml:space="preserve">Medium</w:t>
            </w:r>
          </w:p>
        </w:tc>
      </w:tr>
      <w:tr>
        <w:tc>
          <w:tcPr/>
          <w:p>
            <w:pPr>
              <w:pStyle w:val="Compact"/>
            </w:pPr>
            <w:r>
              <w:t xml:space="preserve">G-22</w:t>
            </w:r>
          </w:p>
        </w:tc>
        <w:tc>
          <w:tcPr/>
          <w:p>
            <w:pPr>
              <w:pStyle w:val="Compact"/>
            </w:pPr>
            <w:r>
              <w:t xml:space="preserve">Decomposition</w:t>
            </w:r>
          </w:p>
        </w:tc>
        <w:tc>
          <w:tcPr/>
          <w:p>
            <w:pPr>
              <w:pStyle w:val="Compact"/>
            </w:pPr>
            <w:r>
              <w:t xml:space="preserve">Legacy FEAT-*.md need absorb-and-delete discipline</w:t>
            </w:r>
          </w:p>
        </w:tc>
        <w:tc>
          <w:tcPr/>
          <w:p>
            <w:pPr>
              <w:pStyle w:val="Compact"/>
            </w:pPr>
            <w:r>
              <w:t xml:space="preserve">Medium</w:t>
            </w:r>
          </w:p>
        </w:tc>
      </w:tr>
      <w:tr>
        <w:tc>
          <w:tcPr/>
          <w:p>
            <w:pPr>
              <w:pStyle w:val="Compact"/>
            </w:pPr>
            <w:r>
              <w:t xml:space="preserve">G-23</w:t>
            </w:r>
          </w:p>
        </w:tc>
        <w:tc>
          <w:tcPr/>
          <w:p>
            <w:pPr>
              <w:pStyle w:val="Compact"/>
            </w:pPr>
            <w:r>
              <w:t xml:space="preserve">Doc hygiene</w:t>
            </w:r>
          </w:p>
        </w:tc>
        <w:tc>
          <w:tcPr/>
          <w:p>
            <w:pPr>
              <w:pStyle w:val="Compact"/>
            </w:pPr>
            <w:r>
              <w:t xml:space="preserve">Stale references to superseded authorities</w:t>
            </w:r>
          </w:p>
        </w:tc>
        <w:tc>
          <w:tcPr/>
          <w:p>
            <w:pPr>
              <w:pStyle w:val="Compact"/>
            </w:pPr>
            <w:r>
              <w:t xml:space="preserve">Medium</w:t>
            </w:r>
          </w:p>
        </w:tc>
      </w:tr>
      <w:tr>
        <w:tc>
          <w:tcPr/>
          <w:p>
            <w:pPr>
              <w:pStyle w:val="Compact"/>
            </w:pPr>
            <w:r>
              <w:t xml:space="preserve">G-25</w:t>
            </w:r>
          </w:p>
        </w:tc>
        <w:tc>
          <w:tcPr/>
          <w:p>
            <w:pPr>
              <w:pStyle w:val="Compact"/>
            </w:pPr>
            <w:r>
              <w:t xml:space="preserve">Doc tooling</w:t>
            </w:r>
          </w:p>
        </w:tc>
        <w:tc>
          <w:tcPr/>
          <w:p>
            <w:pPr>
              <w:pStyle w:val="Compact"/>
            </w:pPr>
            <w:r>
              <w:t xml:space="preserve">How-we-work rendered views drift between markdown updates</w:t>
            </w:r>
          </w:p>
        </w:tc>
        <w:tc>
          <w:tcPr/>
          <w:p>
            <w:pPr>
              <w:pStyle w:val="Compact"/>
            </w:pPr>
            <w:r>
              <w:t xml:space="preserve">Medium</w:t>
            </w:r>
          </w:p>
        </w:tc>
      </w:tr>
      <w:tr>
        <w:tc>
          <w:tcPr/>
          <w:p>
            <w:pPr>
              <w:pStyle w:val="Compact"/>
            </w:pPr>
            <w:r>
              <w:t xml:space="preserve">G-27</w:t>
            </w:r>
          </w:p>
        </w:tc>
        <w:tc>
          <w:tcPr/>
          <w:p>
            <w:pPr>
              <w:pStyle w:val="Compact"/>
            </w:pPr>
            <w:r>
              <w:t xml:space="preserve">Doc hygiene</w:t>
            </w:r>
          </w:p>
        </w:tc>
        <w:tc>
          <w:tcPr/>
          <w:p>
            <w:pPr>
              <w:pStyle w:val="Compact"/>
            </w:pPr>
            <w:r>
              <w:t xml:space="preserve">PRODUCTS_AND_PLATFORM.md staleness vs authoritative status</w:t>
            </w:r>
          </w:p>
        </w:tc>
        <w:tc>
          <w:tcPr/>
          <w:p>
            <w:pPr>
              <w:pStyle w:val="Compact"/>
            </w:pPr>
            <w:r>
              <w:t xml:space="preserve">Medium</w:t>
            </w:r>
          </w:p>
        </w:tc>
      </w:tr>
      <w:tr>
        <w:tc>
          <w:tcPr/>
          <w:p>
            <w:pPr>
              <w:pStyle w:val="Compact"/>
            </w:pPr>
            <w:r>
              <w:t xml:space="preserve">G-28</w:t>
            </w:r>
          </w:p>
        </w:tc>
        <w:tc>
          <w:tcPr/>
          <w:p>
            <w:pPr>
              <w:pStyle w:val="Compact"/>
            </w:pPr>
            <w:r>
              <w:t xml:space="preserve">Doc hygiene</w:t>
            </w:r>
          </w:p>
        </w:tc>
        <w:tc>
          <w:tcPr/>
          <w:p>
            <w:pPr>
              <w:pStyle w:val="Compact"/>
            </w:pPr>
            <w:r>
              <w:t xml:space="preserve">Trust-disk-over-memory as a cross-cutting discipline</w:t>
            </w:r>
          </w:p>
        </w:tc>
        <w:tc>
          <w:tcPr/>
          <w:p>
            <w:pPr>
              <w:pStyle w:val="Compact"/>
            </w:pPr>
            <w:r>
              <w:t xml:space="preserve">Low</w:t>
            </w:r>
          </w:p>
        </w:tc>
      </w:tr>
      <w:tr>
        <w:tc>
          <w:tcPr/>
          <w:p>
            <w:pPr>
              <w:pStyle w:val="Compact"/>
            </w:pPr>
            <w:r>
              <w:t xml:space="preserve">G-29</w:t>
            </w:r>
          </w:p>
        </w:tc>
        <w:tc>
          <w:tcPr/>
          <w:p>
            <w:pPr>
              <w:pStyle w:val="Compact"/>
            </w:pPr>
            <w:r>
              <w:t xml:space="preserve">Decomposition</w:t>
            </w:r>
          </w:p>
        </w:tc>
        <w:tc>
          <w:tcPr/>
          <w:p>
            <w:pPr>
              <w:pStyle w:val="Compact"/>
            </w:pPr>
            <w:r>
              <w:t xml:space="preserve">Lateral routing for cross-entity L3 findings</w:t>
            </w:r>
          </w:p>
        </w:tc>
        <w:tc>
          <w:tcPr/>
          <w:p>
            <w:pPr>
              <w:pStyle w:val="Compact"/>
            </w:pPr>
            <w:r>
              <w:t xml:space="preserve">Medium</w:t>
            </w:r>
          </w:p>
        </w:tc>
      </w:tr>
      <w:tr>
        <w:tc>
          <w:tcPr/>
          <w:p>
            <w:pPr>
              <w:pStyle w:val="Compact"/>
            </w:pPr>
            <w:r>
              <w:t xml:space="preserve">G-30</w:t>
            </w:r>
          </w:p>
        </w:tc>
        <w:tc>
          <w:tcPr/>
          <w:p>
            <w:pPr>
              <w:pStyle w:val="Compact"/>
            </w:pPr>
            <w:r>
              <w:t xml:space="preserve">Agent routing</w:t>
            </w:r>
          </w:p>
        </w:tc>
        <w:tc>
          <w:tcPr/>
          <w:p>
            <w:pPr>
              <w:pStyle w:val="Compact"/>
            </w:pPr>
            <w:r>
              <w:t xml:space="preserve">Tier CLAUDE.md files contain miscategorised content</w:t>
            </w:r>
          </w:p>
        </w:tc>
        <w:tc>
          <w:tcPr/>
          <w:p>
            <w:pPr>
              <w:pStyle w:val="Compact"/>
            </w:pPr>
            <w:r>
              <w:t xml:space="preserve">Medium</w:t>
            </w:r>
          </w:p>
        </w:tc>
      </w:tr>
      <w:tr>
        <w:tc>
          <w:tcPr/>
          <w:p>
            <w:pPr>
              <w:pStyle w:val="Compact"/>
            </w:pPr>
            <w:r>
              <w:t xml:space="preserve">G-32</w:t>
            </w:r>
          </w:p>
        </w:tc>
        <w:tc>
          <w:tcPr/>
          <w:p>
            <w:pPr>
              <w:pStyle w:val="Compact"/>
            </w:pPr>
            <w:r>
              <w:t xml:space="preserve">Decomposition</w:t>
            </w:r>
          </w:p>
        </w:tc>
        <w:tc>
          <w:tcPr/>
          <w:p>
            <w:pPr>
              <w:pStyle w:val="Compact"/>
            </w:pPr>
            <w:r>
              <w:t xml:space="preserve">Reader-tour backfill obligation for shipped L3 entities</w:t>
            </w:r>
          </w:p>
        </w:tc>
        <w:tc>
          <w:tcPr/>
          <w:p>
            <w:pPr>
              <w:pStyle w:val="Compact"/>
            </w:pPr>
            <w:r>
              <w:t xml:space="preserve">Medium</w:t>
            </w:r>
          </w:p>
        </w:tc>
      </w:tr>
    </w:tbl>
    <w:bookmarkStart w:id="76" w:name="the-documentation-hygiene-cluster"/>
    <w:p>
      <w:pPr>
        <w:pStyle w:val="Heading2"/>
      </w:pPr>
      <w:r>
        <w:t xml:space="preserve">The documentation-hygiene cluster</w:t>
      </w:r>
    </w:p>
    <w:p>
      <w:pPr>
        <w:pStyle w:val="FirstParagraph"/>
      </w:pPr>
      <w:r>
        <w:t xml:space="preserve">Four gaps (G-23, G-25, G-27, G-28) belong to no single chapter — they are about the documentation system itself. Stale references to superseded authorities accumulate across the repo (G-23); rendered views of this very document drift behind their markdown sources (G-25 — this revision is itself the fix for one instance); the strategy document PRODUCTS_AND_PLATFORM.md is read as authoritative current strategy although parts predate the locked anatomy ADRs (G-27); and the</w:t>
      </w:r>
      <w:r>
        <w:t xml:space="preserve"> </w:t>
      </w:r>
      <w:r>
        <w:t xml:space="preserve">“trust disk over memory”</w:t>
      </w:r>
      <w:r>
        <w:t xml:space="preserve"> </w:t>
      </w:r>
      <w:r>
        <w:t xml:space="preserve">verification rule exists in two skills but has not been promoted to a single named principle (G-28).</w:t>
      </w:r>
    </w:p>
    <w:bookmarkEnd w:id="76"/>
    <w:bookmarkStart w:id="80" w:name="priority-summary"/>
    <w:p>
      <w:pPr>
        <w:pStyle w:val="Heading2"/>
      </w:pPr>
      <w:r>
        <w:t xml:space="preserve">Priority summary</w:t>
      </w:r>
    </w:p>
    <w:bookmarkStart w:id="77" w:name="high-priority"/>
    <w:p>
      <w:pPr>
        <w:pStyle w:val="Heading3"/>
      </w:pPr>
      <w:r>
        <w:t xml:space="preserve">High priority</w:t>
      </w:r>
    </w:p>
    <w:p>
      <w:pPr>
        <w:pStyle w:val="Compact"/>
        <w:numPr>
          <w:ilvl w:val="0"/>
          <w:numId w:val="1019"/>
        </w:numPr>
      </w:pPr>
      <w:r>
        <w:t xml:space="preserve">G-03 Vertical specs are scaffolds</w:t>
      </w:r>
    </w:p>
    <w:p>
      <w:pPr>
        <w:pStyle w:val="Compact"/>
        <w:numPr>
          <w:ilvl w:val="0"/>
          <w:numId w:val="1019"/>
        </w:numPr>
      </w:pPr>
      <w:r>
        <w:t xml:space="preserve">G-05 Review queue not operationalized</w:t>
      </w:r>
    </w:p>
    <w:p>
      <w:pPr>
        <w:pStyle w:val="Compact"/>
        <w:numPr>
          <w:ilvl w:val="0"/>
          <w:numId w:val="1019"/>
        </w:numPr>
      </w:pPr>
      <w:r>
        <w:t xml:space="preserve">G-06 Multi-agent task locking</w:t>
      </w:r>
    </w:p>
    <w:p>
      <w:pPr>
        <w:pStyle w:val="Compact"/>
        <w:numPr>
          <w:ilvl w:val="0"/>
          <w:numId w:val="1019"/>
        </w:numPr>
      </w:pPr>
      <w:r>
        <w:t xml:space="preserve">G-12 Given/When/Then to test translation</w:t>
      </w:r>
    </w:p>
    <w:bookmarkEnd w:id="77"/>
    <w:bookmarkStart w:id="78" w:name="medium-priority"/>
    <w:p>
      <w:pPr>
        <w:pStyle w:val="Heading3"/>
      </w:pPr>
      <w:r>
        <w:t xml:space="preserve">Medium priority</w:t>
      </w:r>
    </w:p>
    <w:p>
      <w:pPr>
        <w:pStyle w:val="Compact"/>
        <w:numPr>
          <w:ilvl w:val="0"/>
          <w:numId w:val="1020"/>
        </w:numPr>
      </w:pPr>
      <w:r>
        <w:t xml:space="preserve">G-01 Whisp architectural placement</w:t>
      </w:r>
    </w:p>
    <w:p>
      <w:pPr>
        <w:pStyle w:val="Compact"/>
        <w:numPr>
          <w:ilvl w:val="0"/>
          <w:numId w:val="1020"/>
        </w:numPr>
      </w:pPr>
      <w:r>
        <w:t xml:space="preserve">G-02 Cross-product feature sync</w:t>
      </w:r>
    </w:p>
    <w:p>
      <w:pPr>
        <w:pStyle w:val="Compact"/>
        <w:numPr>
          <w:ilvl w:val="0"/>
          <w:numId w:val="1020"/>
        </w:numPr>
      </w:pPr>
      <w:r>
        <w:t xml:space="preserve">G-04 Wave ↔ roadmap relationship</w:t>
      </w:r>
    </w:p>
    <w:p>
      <w:pPr>
        <w:pStyle w:val="Compact"/>
        <w:numPr>
          <w:ilvl w:val="0"/>
          <w:numId w:val="1020"/>
        </w:numPr>
      </w:pPr>
      <w:r>
        <w:t xml:space="preserve">G-07 Ferd DoD empty</w:t>
      </w:r>
    </w:p>
    <w:p>
      <w:pPr>
        <w:pStyle w:val="Compact"/>
        <w:numPr>
          <w:ilvl w:val="0"/>
          <w:numId w:val="1020"/>
        </w:numPr>
      </w:pPr>
      <w:r>
        <w:t xml:space="preserve">G-09 Refinement ritual undocumented</w:t>
      </w:r>
    </w:p>
    <w:p>
      <w:pPr>
        <w:pStyle w:val="Compact"/>
        <w:numPr>
          <w:ilvl w:val="0"/>
          <w:numId w:val="1020"/>
        </w:numPr>
      </w:pPr>
      <w:r>
        <w:t xml:space="preserve">G-10 Board mechanic unchosen</w:t>
      </w:r>
    </w:p>
    <w:p>
      <w:pPr>
        <w:pStyle w:val="Compact"/>
        <w:numPr>
          <w:ilvl w:val="0"/>
          <w:numId w:val="1020"/>
        </w:numPr>
      </w:pPr>
      <w:r>
        <w:t xml:space="preserve">G-13 Build hygiene unspecified</w:t>
      </w:r>
    </w:p>
    <w:p>
      <w:pPr>
        <w:pStyle w:val="Compact"/>
        <w:numPr>
          <w:ilvl w:val="0"/>
          <w:numId w:val="1020"/>
        </w:numPr>
      </w:pPr>
      <w:r>
        <w:t xml:space="preserve">G-14 Discovery 0→2 flow orphaned</w:t>
      </w:r>
    </w:p>
    <w:p>
      <w:pPr>
        <w:pStyle w:val="Compact"/>
        <w:numPr>
          <w:ilvl w:val="0"/>
          <w:numId w:val="1020"/>
        </w:numPr>
      </w:pPr>
      <w:r>
        <w:t xml:space="preserve">G-15 Cross-tier entry order</w:t>
      </w:r>
    </w:p>
    <w:p>
      <w:pPr>
        <w:pStyle w:val="Compact"/>
        <w:numPr>
          <w:ilvl w:val="0"/>
          <w:numId w:val="1020"/>
        </w:numPr>
      </w:pPr>
      <w:r>
        <w:t xml:space="preserve">G-16 Skill chaining undocumented</w:t>
      </w:r>
    </w:p>
    <w:p>
      <w:pPr>
        <w:pStyle w:val="Compact"/>
        <w:numPr>
          <w:ilvl w:val="0"/>
          <w:numId w:val="1020"/>
        </w:numPr>
      </w:pPr>
      <w:r>
        <w:t xml:space="preserve">G-18 Research pathway under-specified</w:t>
      </w:r>
    </w:p>
    <w:p>
      <w:pPr>
        <w:pStyle w:val="Compact"/>
        <w:numPr>
          <w:ilvl w:val="0"/>
          <w:numId w:val="1020"/>
        </w:numPr>
      </w:pPr>
      <w:r>
        <w:t xml:space="preserve">G-19 Wave-planning skill needs structural review</w:t>
      </w:r>
    </w:p>
    <w:p>
      <w:pPr>
        <w:pStyle w:val="Compact"/>
        <w:numPr>
          <w:ilvl w:val="0"/>
          <w:numId w:val="1020"/>
        </w:numPr>
      </w:pPr>
      <w:r>
        <w:t xml:space="preserve">G-20 Reconciliation activity has no defined home</w:t>
      </w:r>
    </w:p>
    <w:p>
      <w:pPr>
        <w:pStyle w:val="Compact"/>
        <w:numPr>
          <w:ilvl w:val="0"/>
          <w:numId w:val="1020"/>
        </w:numPr>
      </w:pPr>
      <w:r>
        <w:t xml:space="preserve">G-22 Legacy FEAT-*.md need absorb-and-delete discipline</w:t>
      </w:r>
    </w:p>
    <w:p>
      <w:pPr>
        <w:pStyle w:val="Compact"/>
        <w:numPr>
          <w:ilvl w:val="0"/>
          <w:numId w:val="1020"/>
        </w:numPr>
      </w:pPr>
      <w:r>
        <w:t xml:space="preserve">G-23 Stale references to superseded authorities</w:t>
      </w:r>
    </w:p>
    <w:p>
      <w:pPr>
        <w:pStyle w:val="Compact"/>
        <w:numPr>
          <w:ilvl w:val="0"/>
          <w:numId w:val="1020"/>
        </w:numPr>
      </w:pPr>
      <w:r>
        <w:t xml:space="preserve">G-25 How-we-work rendered views drift</w:t>
      </w:r>
    </w:p>
    <w:p>
      <w:pPr>
        <w:pStyle w:val="Compact"/>
        <w:numPr>
          <w:ilvl w:val="0"/>
          <w:numId w:val="1020"/>
        </w:numPr>
      </w:pPr>
      <w:r>
        <w:t xml:space="preserve">G-27 PRODUCTS_AND_PLATFORM.md staleness</w:t>
      </w:r>
    </w:p>
    <w:p>
      <w:pPr>
        <w:pStyle w:val="Compact"/>
        <w:numPr>
          <w:ilvl w:val="0"/>
          <w:numId w:val="1020"/>
        </w:numPr>
      </w:pPr>
      <w:r>
        <w:t xml:space="preserve">G-29 Lateral routing for cross-entity L3 findings</w:t>
      </w:r>
    </w:p>
    <w:p>
      <w:pPr>
        <w:pStyle w:val="Compact"/>
        <w:numPr>
          <w:ilvl w:val="0"/>
          <w:numId w:val="1020"/>
        </w:numPr>
      </w:pPr>
      <w:r>
        <w:t xml:space="preserve">G-30 Tier CLAUDE.md miscategorised content</w:t>
      </w:r>
    </w:p>
    <w:p>
      <w:pPr>
        <w:pStyle w:val="Compact"/>
        <w:numPr>
          <w:ilvl w:val="0"/>
          <w:numId w:val="1020"/>
        </w:numPr>
      </w:pPr>
      <w:r>
        <w:t xml:space="preserve">G-32 Reader-tour backfill obligation</w:t>
      </w:r>
    </w:p>
    <w:bookmarkEnd w:id="78"/>
    <w:bookmarkStart w:id="79" w:name="low-priority"/>
    <w:p>
      <w:pPr>
        <w:pStyle w:val="Heading3"/>
      </w:pPr>
      <w:r>
        <w:t xml:space="preserve">Low priority</w:t>
      </w:r>
    </w:p>
    <w:p>
      <w:pPr>
        <w:pStyle w:val="Compact"/>
        <w:numPr>
          <w:ilvl w:val="0"/>
          <w:numId w:val="1021"/>
        </w:numPr>
      </w:pPr>
      <w:r>
        <w:t xml:space="preserve">G-11 TDD overstated vs risk-based</w:t>
      </w:r>
    </w:p>
    <w:p>
      <w:pPr>
        <w:pStyle w:val="Compact"/>
        <w:numPr>
          <w:ilvl w:val="0"/>
          <w:numId w:val="1021"/>
        </w:numPr>
      </w:pPr>
      <w:r>
        <w:t xml:space="preserve">G-17 AGENTS.md precedence across tools</w:t>
      </w:r>
    </w:p>
    <w:p>
      <w:pPr>
        <w:pStyle w:val="Compact"/>
        <w:numPr>
          <w:ilvl w:val="0"/>
          <w:numId w:val="1021"/>
        </w:numPr>
      </w:pPr>
      <w:r>
        <w:t xml:space="preserve">G-28 Trust-disk-over-memory as a cross-cutting discipline</w:t>
      </w:r>
    </w:p>
    <w:bookmarkEnd w:id="79"/>
    <w:bookmarkEnd w:id="80"/>
    <w:bookmarkStart w:id="81" w:name="the-pattern-visible-across-the-register"/>
    <w:p>
      <w:pPr>
        <w:pStyle w:val="Heading2"/>
      </w:pPr>
      <w:r>
        <w:t xml:space="preserve">The pattern visible across the register</w:t>
      </w:r>
    </w:p>
    <w:p>
      <w:pPr>
        <w:pStyle w:val="FirstParagraph"/>
      </w:pPr>
      <w:r>
        <w:t xml:space="preserve">The original diagnosis holds: strong bookends (vision at the top; DoD at the bottom), weak middle (how items move through maturity, how specs translate to tests, how the build loop is documented, how review actually handshakes). The execution-axis and cadence gaps from revision 3 are almost all still open.</w:t>
      </w:r>
    </w:p>
    <w:p>
      <w:pPr>
        <w:pStyle w:val="BodyText"/>
      </w:pPr>
      <w:r>
        <w:t xml:space="preserve">What is new since revision 3 is a second cluster: the system is now old enough that its own records drift. Ten of the twenty-seven gaps were registered after the original seventeen, and most of them are about discipline and routing — deleting superseded artifacts (G-22), repointing stale references (G-23), regenerating rendered views (G-25), routing findings between entities (G-29), and keeping the cascade correctly layered (G-30). One of the cluster has already closed this way: G-21, feature-inventory summary maintenance, implemented in the feature-development and doc-health-check skills and closed 2026-06-10. The strategic scaffolding is holding; the maintenance disciplines around it are the current frontier.</w:t>
      </w:r>
    </w:p>
    <w:bookmarkEnd w:id="81"/>
    <w:bookmarkStart w:id="82" w:name="X8044c5e45e8792c3101815a70886c9baf82be59"/>
    <w:p>
      <w:pPr>
        <w:pStyle w:val="Heading2"/>
      </w:pPr>
      <w:r>
        <w:t xml:space="preserve">Canonical sources this document is built on</w:t>
      </w:r>
    </w:p>
    <w:p>
      <w:pPr>
        <w:pStyle w:val="FirstParagraph"/>
      </w:pPr>
      <w:r>
        <w:t xml:space="preserve">This document is a view onto the canonical sources. When they change, this document must be updated to match. When it disagrees with a canonical source, the canonical source wins.</w:t>
      </w:r>
    </w:p>
    <w:p>
      <w:pPr>
        <w:pStyle w:val="Compact"/>
        <w:numPr>
          <w:ilvl w:val="0"/>
          <w:numId w:val="1022"/>
        </w:numPr>
      </w:pPr>
      <w:r>
        <w:t xml:space="preserve">docs/ecosystem/VISION.md — the constitutional document</w:t>
      </w:r>
    </w:p>
    <w:p>
      <w:pPr>
        <w:pStyle w:val="Compact"/>
        <w:numPr>
          <w:ilvl w:val="0"/>
          <w:numId w:val="1022"/>
        </w:numPr>
      </w:pPr>
      <w:r>
        <w:t xml:space="preserve">docs/planning/PROCESS.md — way of working (strategic layer)</w:t>
      </w:r>
    </w:p>
    <w:p>
      <w:pPr>
        <w:pStyle w:val="Compact"/>
        <w:numPr>
          <w:ilvl w:val="0"/>
          <w:numId w:val="1022"/>
        </w:numPr>
      </w:pPr>
      <w:r>
        <w:t xml:space="preserve">.claude/skills/*/SKILL.md — the four skills (execution layer)</w:t>
      </w:r>
    </w:p>
    <w:p>
      <w:pPr>
        <w:pStyle w:val="Compact"/>
        <w:numPr>
          <w:ilvl w:val="0"/>
          <w:numId w:val="1022"/>
        </w:numPr>
      </w:pPr>
      <w:r>
        <w:t xml:space="preserve">/CLAUDE.md, /AGENTS.md — root orientation and boundaries</w:t>
      </w:r>
    </w:p>
    <w:p>
      <w:pPr>
        <w:pStyle w:val="Compact"/>
        <w:numPr>
          <w:ilvl w:val="0"/>
          <w:numId w:val="1022"/>
        </w:numPr>
      </w:pPr>
      <w:r>
        <w:t xml:space="preserve">docs/{tier}/CLAUDE.md and the deeper cascade files (sub-tier, entity, sub-entity) — twenty files as of this revision</w:t>
      </w:r>
    </w:p>
    <w:p>
      <w:pPr>
        <w:pStyle w:val="Compact"/>
        <w:numPr>
          <w:ilvl w:val="0"/>
          <w:numId w:val="1022"/>
        </w:numPr>
      </w:pPr>
      <w:r>
        <w:t xml:space="preserve">docs/ecosystem/how-we-work/gaps.md — the canonical gaps register</w:t>
      </w:r>
    </w:p>
    <w:p>
      <w:pPr>
        <w:pStyle w:val="Compact"/>
        <w:numPr>
          <w:ilvl w:val="0"/>
          <w:numId w:val="1022"/>
        </w:numPr>
      </w:pPr>
      <w:r>
        <w:t xml:space="preserve">docs/templates/*.md — the reusable shapes</w:t>
      </w:r>
    </w:p>
    <w:p>
      <w:pPr>
        <w:pStyle w:val="Compact"/>
        <w:numPr>
          <w:ilvl w:val="0"/>
          <w:numId w:val="1022"/>
        </w:numPr>
      </w:pPr>
      <w:r>
        <w:t xml:space="preserve">docs/architecture/decisions/*.md — ADRs, especially U002 (verticals), U022/U023/U024 (waves and anatomy), and U025–U028 (the reconciled entity model)</w:t>
      </w:r>
    </w:p>
    <w:bookmarkEnd w:id="82"/>
    <w:bookmarkStart w:id="83" w:name="revision-history"/>
    <w:p>
      <w:pPr>
        <w:pStyle w:val="Heading2"/>
      </w:pPr>
      <w:r>
        <w:t xml:space="preserve">Revision history</w:t>
      </w:r>
    </w:p>
    <w:p>
      <w:pPr>
        <w:pStyle w:val="Compact"/>
        <w:numPr>
          <w:ilvl w:val="0"/>
          <w:numId w:val="1023"/>
        </w:numPr>
      </w:pPr>
      <w:r>
        <w:t xml:space="preserve">Revision 3 — 2026-04-19. First complete four-axis description; seventeen flagged gaps.</w:t>
      </w:r>
    </w:p>
    <w:p>
      <w:pPr>
        <w:pStyle w:val="Compact"/>
        <w:numPr>
          <w:ilvl w:val="0"/>
          <w:numId w:val="1023"/>
        </w:numPr>
      </w:pPr>
      <w:r>
        <w:t xml:space="preserve">Revision 4 — 2026-06-10. Gaps register updated to twenty-seven (G-19 through G-32 registered; G-21 closed in the same pass); entity-model ADRs U025–U028 reflected; CLAUDE.md cascade extended to five levels with the five-row content policy and Section 9 verification; Whisp canon updated per the revised VISION.md; vertical spec file shape corrected to per-vertical SPECIFICATION.md.</w:t>
      </w:r>
    </w:p>
    <w:bookmarkEnd w:id="83"/>
    <w:bookmarkEnd w:id="84"/>
    <w:sectPr w:rsidR="001377DC" w:rsidSect="00050AA2">
      <w:pgSz w:h="15840" w:w="12240"/>
      <w:pgMar w:bottom="1440" w:footer="708" w:gutter="0" w:header="708" w:left="1440" w:right="1440"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2090924"/>
    <w:multiLevelType w:val="hybridMultilevel"/>
    <w:tmpl w:val="BB66D7A8"/>
    <w:lvl w:ilvl="0" w:tplc="02C6BBBA">
      <w:start w:val="1"/>
      <w:numFmt w:val="bullet"/>
      <w:lvlText w:val="●"/>
      <w:lvlJc w:val="left"/>
      <w:pPr>
        <w:ind w:hanging="360" w:left="720"/>
      </w:pPr>
    </w:lvl>
    <w:lvl w:ilvl="1" w:tplc="873683EE">
      <w:start w:val="1"/>
      <w:numFmt w:val="bullet"/>
      <w:lvlText w:val="○"/>
      <w:lvlJc w:val="left"/>
      <w:pPr>
        <w:ind w:hanging="360" w:left="1440"/>
      </w:pPr>
    </w:lvl>
    <w:lvl w:ilvl="2" w:tplc="BCF81B28">
      <w:start w:val="1"/>
      <w:numFmt w:val="bullet"/>
      <w:lvlText w:val="■"/>
      <w:lvlJc w:val="left"/>
      <w:pPr>
        <w:ind w:hanging="360" w:left="2160"/>
      </w:pPr>
    </w:lvl>
    <w:lvl w:ilvl="3" w:tplc="205A684C">
      <w:start w:val="1"/>
      <w:numFmt w:val="bullet"/>
      <w:lvlText w:val="●"/>
      <w:lvlJc w:val="left"/>
      <w:pPr>
        <w:ind w:hanging="360" w:left="2880"/>
      </w:pPr>
    </w:lvl>
    <w:lvl w:ilvl="4" w:tplc="B7A833B2">
      <w:start w:val="1"/>
      <w:numFmt w:val="bullet"/>
      <w:lvlText w:val="○"/>
      <w:lvlJc w:val="left"/>
      <w:pPr>
        <w:ind w:hanging="360" w:left="3600"/>
      </w:pPr>
    </w:lvl>
    <w:lvl w:ilvl="5" w:tplc="912A67F4">
      <w:start w:val="1"/>
      <w:numFmt w:val="bullet"/>
      <w:lvlText w:val="■"/>
      <w:lvlJc w:val="left"/>
      <w:pPr>
        <w:ind w:hanging="360" w:left="4320"/>
      </w:pPr>
    </w:lvl>
    <w:lvl w:ilvl="6" w:tplc="9B0EF122">
      <w:start w:val="1"/>
      <w:numFmt w:val="bullet"/>
      <w:lvlText w:val="●"/>
      <w:lvlJc w:val="left"/>
      <w:pPr>
        <w:ind w:hanging="360" w:left="5040"/>
      </w:pPr>
    </w:lvl>
    <w:lvl w:ilvl="7" w:tplc="417CB8B8">
      <w:start w:val="1"/>
      <w:numFmt w:val="bullet"/>
      <w:lvlText w:val="●"/>
      <w:lvlJc w:val="left"/>
      <w:pPr>
        <w:ind w:hanging="360" w:left="5760"/>
      </w:pPr>
    </w:lvl>
    <w:lvl w:ilvl="8" w:tplc="F1A04BC6">
      <w:start w:val="1"/>
      <w:numFmt w:val="bullet"/>
      <w:lvlText w:val="●"/>
      <w:lvlJc w:val="left"/>
      <w:pPr>
        <w:ind w:hanging="360" w:left="6480"/>
      </w:pPr>
    </w:lvl>
  </w:abstractNum>
  <w:abstractNum w15:restartNumberingAfterBreak="0" w:abstractNumId="1">
    <w:nsid w:val="1BAD6A87"/>
    <w:multiLevelType w:val="hybridMultilevel"/>
    <w:tmpl w:val="228247E8"/>
    <w:lvl w:ilvl="0" w:tplc="FFBA302A">
      <w:start w:val="1"/>
      <w:numFmt w:val="bullet"/>
      <w:lvlText w:val="•"/>
      <w:lvlJc w:val="left"/>
      <w:pPr>
        <w:ind w:hanging="260" w:left="520"/>
      </w:pPr>
    </w:lvl>
    <w:lvl w:ilvl="1" w:tplc="399C600A">
      <w:numFmt w:val="decimal"/>
      <w:lvlText w:val=""/>
      <w:lvlJc w:val="left"/>
    </w:lvl>
    <w:lvl w:ilvl="2" w:tplc="C7C44A34">
      <w:numFmt w:val="decimal"/>
      <w:lvlText w:val=""/>
      <w:lvlJc w:val="left"/>
    </w:lvl>
    <w:lvl w:ilvl="3" w:tplc="3F8E8A0A">
      <w:numFmt w:val="decimal"/>
      <w:lvlText w:val=""/>
      <w:lvlJc w:val="left"/>
    </w:lvl>
    <w:lvl w:ilvl="4" w:tplc="2B5CD16A">
      <w:numFmt w:val="decimal"/>
      <w:lvlText w:val=""/>
      <w:lvlJc w:val="left"/>
    </w:lvl>
    <w:lvl w:ilvl="5" w:tplc="5EEAADF6">
      <w:numFmt w:val="decimal"/>
      <w:lvlText w:val=""/>
      <w:lvlJc w:val="left"/>
    </w:lvl>
    <w:lvl w:ilvl="6" w:tplc="29F4EE4A">
      <w:numFmt w:val="decimal"/>
      <w:lvlText w:val=""/>
      <w:lvlJc w:val="left"/>
    </w:lvl>
    <w:lvl w:ilvl="7" w:tplc="4BBE0B88">
      <w:numFmt w:val="decimal"/>
      <w:lvlText w:val=""/>
      <w:lvlJc w:val="left"/>
    </w:lvl>
    <w:lvl w:ilvl="8" w:tplc="B5782DC4">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54320767" w:numId="1">
    <w:abstractNumId w:val="0"/>
    <w:lvlOverride w:ilvl="0">
      <w:startOverride w:val="1"/>
    </w:lvlOverride>
  </w:num>
  <w:num w16cid:durableId="1346710430" w:numId="2">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7DC"/>
    <w:rsid w:val="00050AA2"/>
    <w:rsid w:val="001377DC"/>
    <w:rsid w:val="00356E40"/>
    <w:rsid w:val="0088490D"/>
    <w:rsid w:val="00E35066"/>
  </w:rsids>
  <w:themeFontLang w:val="en-S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en-SE" w:val="en-SE"/>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200" w:before="360"/>
      <w:outlineLvl w:val="0"/>
    </w:pPr>
    <w:rPr>
      <w:b/>
      <w:bCs/>
      <w:color w:val="1F1E1B"/>
      <w:sz w:val="36"/>
      <w:szCs w:val="36"/>
    </w:rPr>
  </w:style>
  <w:style w:styleId="Heading2" w:type="paragraph">
    <w:name w:val="heading 2"/>
    <w:uiPriority w:val="9"/>
    <w:unhideWhenUsed/>
    <w:qFormat/>
    <w:pPr>
      <w:spacing w:after="140" w:before="280"/>
      <w:outlineLvl w:val="1"/>
    </w:pPr>
    <w:rPr>
      <w:b/>
      <w:bCs/>
      <w:color w:val="26215C"/>
      <w:sz w:val="28"/>
      <w:szCs w:val="28"/>
    </w:rPr>
  </w:style>
  <w:style w:styleId="Heading3" w:type="paragraph">
    <w:name w:val="heading 3"/>
    <w:uiPriority w:val="9"/>
    <w:unhideWhenUsed/>
    <w:qFormat/>
    <w:pPr>
      <w:spacing w:after="80" w:before="200"/>
      <w:outlineLvl w:val="2"/>
    </w:pPr>
    <w:rPr>
      <w:b/>
      <w:bCs/>
      <w:color w:val="3D3D3A"/>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55" Target="media/rId55.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FringeIsland — How We Work</vt:lpstr>
    </vt:vector>
  </TitlesOfParts>
  <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FringeIsland</dc:title>
  <dc:creator/>
  <cp:keywords/>
  <dcterms:created xsi:type="dcterms:W3CDTF">2026-06-10T16:28:36Z</dcterms:created>
  <dcterms:modified xsi:type="dcterms:W3CDTF">2026-06-10T16:28:36Z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we work</vt:lpwstr>
  </property>
</Properties>
</file>