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40"/>
        <w:jc w:val="left"/>
      </w:pPr>
      <w:r>
        <w:rPr>
          <w:rFonts w:ascii="Arial" w:cs="Arial" w:eastAsia="Arial" w:hAnsi="Arial"/>
          <w:b/>
          <w:bCs/>
          <w:color w:val="1F3864"/>
          <w:sz w:val="64"/>
          <w:szCs w:val="64"/>
        </w:rPr>
        <w:t xml:space="preserve">What Fills a Life</w:t>
      </w:r>
    </w:p>
    <w:p>
      <w:pPr>
        <w:spacing w:after="480"/>
        <w:jc w:val="left"/>
      </w:pPr>
      <w:r>
        <w:rPr>
          <w:rFonts w:ascii="Arial" w:cs="Arial" w:eastAsia="Arial" w:hAnsi="Arial"/>
          <w:i/>
          <w:iCs/>
          <w:color w:val="2E5496"/>
          <w:sz w:val="36"/>
          <w:szCs w:val="36"/>
        </w:rPr>
        <w:t xml:space="preserve">The Architecture of Human Flourishing</w:t>
      </w:r>
    </w:p>
    <w:p>
      <w:pPr>
        <w:spacing w:after="240"/>
        <w:jc w:val="left"/>
      </w:pPr>
      <w:r>
        <w:rPr>
          <w:rFonts w:ascii="Arial" w:cs="Arial" w:eastAsia="Arial" w:hAnsi="Arial"/>
          <w:color w:val="595959"/>
          <w:sz w:val="22"/>
          <w:szCs w:val="22"/>
        </w:rPr>
        <w:t xml:space="preserve">A research synthesis for FringeIsland — what a developmental profile should hold, express, and grow</w:t>
      </w:r>
    </w:p>
    <w:p>
      <w:pPr>
        <w:spacing w:after="2000"/>
        <w:jc w:val="left"/>
      </w:pPr>
      <w:r>
        <w:rPr>
          <w:rFonts w:ascii="Arial" w:cs="Arial" w:eastAsia="Arial" w:hAnsi="Arial"/>
          <w:color w:val="7F7F7F"/>
          <w:sz w:val="22"/>
          <w:szCs w:val="22"/>
        </w:rPr>
        <w:t xml:space="preserve">March 2026</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Pr>
      <w:r>
        <w:rPr>
          <w:rFonts w:ascii="Arial" w:cs="Arial" w:eastAsia="Arial" w:hAnsi="Arial"/>
        </w:rPr>
        <w:t xml:space="preserve">Preamble</w:t>
      </w:r>
    </w:p>
    <w:p>
      <w:pPr>
        <w:spacing w:after="160"/>
      </w:pPr>
      <w:r>
        <w:rPr>
          <w:rFonts w:ascii="Arial" w:cs="Arial" w:eastAsia="Arial" w:hAnsi="Arial"/>
          <w:sz w:val="22"/>
          <w:szCs w:val="22"/>
        </w:rPr>
        <w:t xml:space="preserve">The most robust finding across five decades of wellbeing research is deceptively simple: human flourishing is not one thing. It is a multi-dimensional, dynamic process involving at least five interacting systems — psychological wellbeing, meaning and values, developmental capacities, social connection, and embodied and material foundations. No single framework captures the whole. But the research converges on a clear structural insight: flourishing requires active cultivation across all dimensions simultaneously, and treating mental illness alone does not produce it.</w:t>
      </w:r>
    </w:p>
    <w:p>
      <w:pPr>
        <w:spacing w:after="160"/>
      </w:pPr>
      <w:r>
        <w:rPr>
          <w:rFonts w:ascii="Arial" w:cs="Arial" w:eastAsia="Arial" w:hAnsi="Arial"/>
          <w:sz w:val="22"/>
          <w:szCs w:val="22"/>
        </w:rPr>
        <w:t xml:space="preserve">This report maps what the science actually says — with honest validation notes — about what makes a human being complete, and translates each dimension into what a developmental profile (the Whisp) should be designed to hold, express, and grow over time.</w:t>
      </w:r>
    </w:p>
    <w:p>
      <w:pPr>
        <w:spacing w:after="160"/>
      </w:pPr>
      <w:r>
        <w:rPr>
          <w:rFonts w:ascii="Arial" w:cs="Arial" w:eastAsia="Arial" w:hAnsi="Arial"/>
          <w:sz w:val="22"/>
          <w:szCs w:val="22"/>
        </w:rPr>
        <w:t xml:space="preserve">The practical implication for FringeIsland is that the Whisp must be a multi-system entity. It cannot be organized around a single axis (happiness, or skills, or meaning) without losing the integrative character that defines genuine flourishing. The research points toward a developmental architecture where certain dimensions serve as foundations (safety, connection, basic emotional regulation), others as engines of growth (meaning-making, metacognition, challenge), and others as emergent properties of a life well-lived (generativity, wisdom, self-transcendence). What follows is the evidence base for building that architecture.</w:t>
      </w:r>
    </w:p>
    <w:p>
      <w:r>
        <w:br w:type="page"/>
      </w:r>
    </w:p>
    <w:p>
      <w:pPr>
        <w:pStyle w:val="Heading1"/>
      </w:pPr>
      <w:r>
        <w:rPr>
          <w:rFonts w:ascii="Arial" w:cs="Arial" w:eastAsia="Arial" w:hAnsi="Arial"/>
        </w:rPr>
        <w:t xml:space="preserve">1. Psychological Wellbeing</w:t>
      </w:r>
    </w:p>
    <w:p>
      <w:pPr>
        <w:pStyle w:val="Heading2"/>
      </w:pPr>
      <w:r>
        <w:rPr>
          <w:rFonts w:ascii="Arial" w:cs="Arial" w:eastAsia="Arial" w:hAnsi="Arial"/>
        </w:rPr>
        <w:t xml:space="preserve">1.1 The Dual Continuum — Health is Not the Absence of Illness</w:t>
      </w:r>
    </w:p>
    <w:p>
      <w:pPr>
        <w:spacing w:after="160"/>
      </w:pPr>
      <w:r>
        <w:rPr>
          <w:rFonts w:ascii="Arial" w:cs="Arial" w:eastAsia="Arial" w:hAnsi="Arial"/>
          <w:sz w:val="22"/>
          <w:szCs w:val="22"/>
        </w:rPr>
        <w:t xml:space="preserve">The single most important conceptual advance in wellbeing science is Corey Keyes' dual continuum model, which demonstrates that mental health and mental illness are separate dimensions, not opposite poles of one spectrum. Using nationally representative U.S. data (N = 3,032), Keyes showed that only 16.8% of adults were both free of mental illness and genuinely flourishing. Another 9.5% had no diagnosable disorder but were languishing — a state invisible to traditional clinical models yet predictive of future depression, disability, and poor functioning. The model has been replicated across the Netherlands, South Africa, Korea, Italy, Argentina, and clinical populations.</w:t>
      </w:r>
    </w:p>
    <w:p>
      <w:pPr>
        <w:pBdr>
          <w:left w:val="single" w:color="4472C4" w:sz="6" w:space="12"/>
        </w:pBdr>
        <w:spacing w:before="120" w:after="120"/>
        <w:ind w:left="720" w:right="720"/>
      </w:pPr>
      <w:r>
        <w:rPr>
          <w:rFonts w:ascii="Arial" w:cs="Arial" w:eastAsia="Arial" w:hAnsi="Arial"/>
          <w:i/>
          <w:iCs/>
          <w:sz w:val="22"/>
          <w:szCs w:val="22"/>
        </w:rPr>
        <w:t xml:space="preserve">Removing what is wrong does not create what is right. Flourishing must be actively built.</w:t>
      </w:r>
    </w:p>
    <w:p>
      <w:pPr>
        <w:pStyle w:val="Heading2"/>
      </w:pPr>
      <w:r>
        <w:rPr>
          <w:rFonts w:ascii="Arial" w:cs="Arial" w:eastAsia="Arial" w:hAnsi="Arial"/>
        </w:rPr>
        <w:t xml:space="preserve">1.2 Three Frameworks for What Flourishing Contains</w:t>
      </w:r>
    </w:p>
    <w:p>
      <w:pPr>
        <w:pStyle w:val="Heading3"/>
      </w:pPr>
      <w:r>
        <w:rPr>
          <w:rFonts w:ascii="Arial" w:cs="Arial" w:eastAsia="Arial" w:hAnsi="Arial"/>
        </w:rPr>
        <w:t xml:space="preserve">1.2.1 Ryff's Six Dimensions</w:t>
      </w:r>
    </w:p>
    <w:p>
      <w:pPr>
        <w:spacing w:after="160"/>
      </w:pPr>
      <w:r>
        <w:rPr>
          <w:rFonts w:ascii="Arial" w:cs="Arial" w:eastAsia="Arial" w:hAnsi="Arial"/>
          <w:sz w:val="22"/>
          <w:szCs w:val="22"/>
        </w:rPr>
        <w:t xml:space="preserve">Carol Ryff's six dimensions of psychological wellbeing — self-acceptance, positive relations, autonomy, environmental mastery, purpose in life, and personal growth — emerged from convergent themes across Aristotle, Maslow, Rogers, Jung, and Erikson. Over 30 years of validation across cultures make this the most empirically grounded eudaimonic model available.</w:t>
      </w:r>
    </w:p>
    <w:p>
      <w:pPr>
        <w:pStyle w:val="Heading3"/>
      </w:pPr>
      <w:r>
        <w:rPr>
          <w:rFonts w:ascii="Arial" w:cs="Arial" w:eastAsia="Arial" w:hAnsi="Arial"/>
        </w:rPr>
        <w:t xml:space="preserve">1.2.2 Seligman's PERMA</w:t>
      </w:r>
    </w:p>
    <w:p>
      <w:pPr>
        <w:spacing w:after="160"/>
      </w:pPr>
      <w:r>
        <w:rPr>
          <w:rFonts w:ascii="Arial" w:cs="Arial" w:eastAsia="Arial" w:hAnsi="Arial"/>
          <w:sz w:val="22"/>
          <w:szCs w:val="22"/>
        </w:rPr>
        <w:t xml:space="preserve">Martin Seligman's PERMA model (Positive Emotion, Engagement, Relationships, Meaning, Accomplishment) integrates hedonic and eudaimonic elements and is widely used. However, a 2017 analysis found PERMA correlates at r = .98 with standard subjective wellbeing measures, raising questions about whether it identifies genuinely new constructs. PERMA is best understood as a practical decomposition rather than a novel theory.</w:t>
      </w:r>
    </w:p>
    <w:p>
      <w:pPr>
        <w:pStyle w:val="Heading3"/>
      </w:pPr>
      <w:r>
        <w:rPr>
          <w:rFonts w:ascii="Arial" w:cs="Arial" w:eastAsia="Arial" w:hAnsi="Arial"/>
        </w:rPr>
        <w:t xml:space="preserve">1.2.3 Self-Determination Theory</w:t>
      </w:r>
    </w:p>
    <w:p>
      <w:pPr>
        <w:spacing w:after="160"/>
      </w:pPr>
      <w:r>
        <w:rPr>
          <w:rFonts w:ascii="Arial" w:cs="Arial" w:eastAsia="Arial" w:hAnsi="Arial"/>
          <w:sz w:val="22"/>
          <w:szCs w:val="22"/>
        </w:rPr>
        <w:t xml:space="preserve">Self-Determination Theory (Deci &amp; Ryan) identifies three basic psychological needs — autonomy, competence, and relatedness — whose satisfaction is essential for wellbeing and whose frustration predicts psychopathology. SDT is among the most extensively validated theories in psychology, with robust cross-cultural evidence across four decades, including a study of 92,325 students from 11 societies confirming autonomy's universal importance.</w:t>
      </w:r>
    </w:p>
    <w:p>
      <w:pPr>
        <w:pStyle w:val="Heading2"/>
      </w:pPr>
      <w:r>
        <w:rPr>
          <w:rFonts w:ascii="Arial" w:cs="Arial" w:eastAsia="Arial" w:hAnsi="Arial"/>
        </w:rPr>
        <w:t xml:space="preserve">1.3 Hedonic vs. Eudaimonic Wellbeing</w:t>
      </w:r>
    </w:p>
    <w:p>
      <w:pPr>
        <w:spacing w:after="160"/>
      </w:pPr>
      <w:r>
        <w:rPr>
          <w:rFonts w:ascii="Arial" w:cs="Arial" w:eastAsia="Arial" w:hAnsi="Arial"/>
          <w:sz w:val="22"/>
          <w:szCs w:val="22"/>
        </w:rPr>
        <w:t xml:space="preserve">The distinction between hedonic wellbeing (pleasure, life satisfaction, positive affect) and eudaimonic wellbeing (meaning, growth, self-realization) is empirically real — the two correlate at r = .60–.80 but have distinct predictors and consequences. Eudaimonic pursuits show stronger associations with long-term flourishing, self-control, and skill-building, but the combination produces the highest overall wellbeing. Neither alone is sufficient.</w:t>
      </w:r>
    </w:p>
    <w:p>
      <w:pPr>
        <w:pStyle w:val="Heading2"/>
      </w:pPr>
      <w:r>
        <w:rPr>
          <w:rFonts w:ascii="Arial" w:cs="Arial" w:eastAsia="Arial" w:hAnsi="Arial"/>
        </w:rPr>
        <w:t xml:space="preserve">1.4 Flow States</w:t>
      </w:r>
    </w:p>
    <w:p>
      <w:pPr>
        <w:spacing w:after="160"/>
      </w:pPr>
      <w:r>
        <w:rPr>
          <w:rFonts w:ascii="Arial" w:cs="Arial" w:eastAsia="Arial" w:hAnsi="Arial"/>
          <w:sz w:val="22"/>
          <w:szCs w:val="22"/>
        </w:rPr>
        <w:t xml:space="preserve">Flow states, as described by Csikszentmihalyi, represent moments of complete absorption where challenge and skill are balanced, goals are clear, and feedback is immediate. The phenomenology of flow is well-established across thousands of studies. Its relationship to sustained wellbeing is supported but not fully causal — mechanisms remain unclear, and flow carries potential addiction risks in digital environments.</w:t>
      </w:r>
    </w:p>
    <w:p>
      <w:pPr>
        <w:pStyle w:val="Heading2"/>
      </w:pPr>
      <w:r>
        <w:rPr>
          <w:rFonts w:ascii="Arial" w:cs="Arial" w:eastAsia="Arial" w:hAnsi="Arial"/>
        </w:rPr>
        <w:t xml:space="preserve">1.5 Resilience and Post-Traumatic Growth</w:t>
      </w:r>
    </w:p>
    <w:p>
      <w:pPr>
        <w:spacing w:after="160"/>
      </w:pPr>
      <w:r>
        <w:rPr>
          <w:rFonts w:ascii="Arial" w:cs="Arial" w:eastAsia="Arial" w:hAnsi="Arial"/>
          <w:sz w:val="22"/>
          <w:szCs w:val="22"/>
        </w:rPr>
        <w:t xml:space="preserve">Resilience — the capacity to maintain adaptive functioning despite adversity — is, as Ann Masten demonstrated, 'ordinary magic' arising from normative protective systems: attachment relationships, self-regulation, cognitive ability, and community resources. George Bonanno's longitudinal work showed that resilience (a stable trajectory of healthy functioning) is the most common response to loss and trauma.</w:t>
      </w:r>
    </w:p>
    <w:p>
      <w:pPr>
        <w:spacing w:after="160"/>
      </w:pPr>
      <w:r>
        <w:rPr>
          <w:rFonts w:ascii="Arial" w:cs="Arial" w:eastAsia="Arial" w:hAnsi="Arial"/>
          <w:sz w:val="22"/>
          <w:szCs w:val="22"/>
        </w:rPr>
        <w:t xml:space="preserve">Post-traumatic growth is a more contested concept. While 30–70% of trauma survivors report positive change, prospective studies found poor correspondence between perceived and actual change. Adriel Boals' 2023 review concluded that illusory PTG is common while genuine PTG is rare. The concept remains useful but requires careful interpretation.</w:t>
      </w:r>
    </w:p>
    <w:p>
      <w:pPr>
        <w:pStyle w:val="Heading2"/>
      </w:pPr>
      <w:r>
        <w:rPr>
          <w:rFonts w:ascii="Arial" w:cs="Arial" w:eastAsia="Arial" w:hAnsi="Arial"/>
        </w:rPr>
        <w:t xml:space="preserve">1.6 Emotional Regulation</w:t>
      </w:r>
    </w:p>
    <w:p>
      <w:pPr>
        <w:spacing w:after="160"/>
      </w:pPr>
      <w:r>
        <w:rPr>
          <w:rFonts w:ascii="Arial" w:cs="Arial" w:eastAsia="Arial" w:hAnsi="Arial"/>
          <w:sz w:val="22"/>
          <w:szCs w:val="22"/>
        </w:rPr>
        <w:t xml:space="preserve">James Gross's process model identifies five strategy families from situation selection through cognitive reappraisal to response modulation. Habitual reappraisal predicts better wellbeing; habitual suppression predicts worse outcomes. Contemporary research emphasizes regulation flexibility: no strategy is universally adaptive. The capacity to match strategy to context, drawing from a repertoire, matters more than any single technique.</w:t>
      </w:r>
    </w:p>
    <w:p>
      <w:pPr>
        <w:pStyle w:val="Heading2"/>
      </w:pPr>
      <w:r>
        <w:rPr>
          <w:rFonts w:ascii="Arial" w:cs="Arial" w:eastAsia="Arial" w:hAnsi="Arial"/>
        </w:rPr>
        <w:t xml:space="preserve">1.7 Validation Summary</w:t>
      </w:r>
    </w:p>
    <w:p>
      <w:pPr>
        <w:shd w:fill="F2F2F2" w:val="clear"/>
        <w:spacing w:before="120" w:after="120"/>
        <w:ind w:left="360"/>
      </w:pPr>
      <w:r>
        <w:rPr>
          <w:rFonts w:ascii="Arial" w:cs="Arial" w:eastAsia="Arial" w:hAnsi="Arial"/>
          <w:color w:val="595959"/>
          <w:sz w:val="20"/>
          <w:szCs w:val="20"/>
        </w:rPr>
        <w:t xml:space="preserve">ESTABLISHED: Keyes' dual continuum, Ryff's six dimensions, SDT, hedonic-eudaimonic distinction, emotional regulation process model
WIDELY USED BUT CONTESTED: PERMA's distinctiveness from standard subjective wellbeing
ESTABLISHED PHENOMENOLOGY / EMERGING MECHANISMS: Flow
ESTABLISHED: Resilience as ordinary magic; PTG widely used but mixed evidence
EMERGING: Regulation flexibility frameworks</w:t>
      </w:r>
    </w:p>
    <w:p>
      <w:pPr>
        <w:pStyle w:val="Heading2"/>
      </w:pPr>
      <w:r>
        <w:rPr>
          <w:rFonts w:ascii="Arial" w:cs="Arial" w:eastAsia="Arial" w:hAnsi="Arial"/>
        </w:rPr>
        <w:t xml:space="preserve">1.8 FringeIsland Bridge — What the Whisp Should Hold</w:t>
      </w:r>
    </w:p>
    <w:p>
      <w:pPr>
        <w:shd w:fill="DEEAF1" w:val="clear"/>
        <w:spacing w:before="120" w:after="120"/>
        <w:ind w:left="360"/>
      </w:pPr>
      <w:r>
        <w:rPr>
          <w:rFonts w:ascii="Arial" w:cs="Arial" w:eastAsia="Arial" w:hAnsi="Arial"/>
          <w:color w:val="1F4E79"/>
          <w:sz w:val="20"/>
          <w:szCs w:val="20"/>
        </w:rPr>
        <w:t xml:space="preserve">The Whisp should track wellbeing as multi-dimensional, not as a single happiness score. It needs to hold both hedonic states (positive emotion, satisfaction) and eudaimonic capacities (purpose, growth, autonomy). The dual continuum means the Whisp should separately represent the presence of flourishing and the management of distress — two independent axes. Emotional regulation should appear not as a fixed trait but as a growing repertoire of strategies and the flexibility to deploy them contextually. The Whisp should register not just how someone feels but how they are growing, what meaning they are making, and how flexibly they navigate difficulty.</w:t>
      </w:r>
    </w:p>
    <w:p>
      <w:r>
        <w:br w:type="page"/>
      </w:r>
    </w:p>
    <w:p>
      <w:pPr>
        <w:pStyle w:val="Heading1"/>
      </w:pPr>
      <w:r>
        <w:rPr>
          <w:rFonts w:ascii="Arial" w:cs="Arial" w:eastAsia="Arial" w:hAnsi="Arial"/>
        </w:rPr>
        <w:t xml:space="preserve">2. Values, Beliefs, and Meaning-Making</w:t>
      </w:r>
    </w:p>
    <w:p>
      <w:pPr>
        <w:pStyle w:val="Heading2"/>
      </w:pPr>
      <w:r>
        <w:rPr>
          <w:rFonts w:ascii="Arial" w:cs="Arial" w:eastAsia="Arial" w:hAnsi="Arial"/>
        </w:rPr>
        <w:t xml:space="preserve">2.1 The Navigational Core</w:t>
      </w:r>
    </w:p>
    <w:p>
      <w:pPr>
        <w:spacing w:after="160"/>
      </w:pPr>
      <w:r>
        <w:rPr>
          <w:rFonts w:ascii="Arial" w:cs="Arial" w:eastAsia="Arial" w:hAnsi="Arial"/>
          <w:sz w:val="22"/>
          <w:szCs w:val="22"/>
        </w:rPr>
        <w:t xml:space="preserve">If psychological wellbeing describes the terrain of flourishing, values and meaning provide the compass. The research converges on a powerful claim: knowing what matters to you and living accordingly is one of the strongest predictors of sustained wellbeing across every population studied.</w:t>
      </w:r>
    </w:p>
    <w:p>
      <w:pPr>
        <w:pStyle w:val="Heading2"/>
      </w:pPr>
      <w:r>
        <w:rPr>
          <w:rFonts w:ascii="Arial" w:cs="Arial" w:eastAsia="Arial" w:hAnsi="Arial"/>
        </w:rPr>
        <w:t xml:space="preserve">2.2 Schwartz's Theory of Basic Human Values</w:t>
      </w:r>
    </w:p>
    <w:p>
      <w:pPr>
        <w:spacing w:after="160"/>
      </w:pPr>
      <w:r>
        <w:rPr>
          <w:rFonts w:ascii="Arial" w:cs="Arial" w:eastAsia="Arial" w:hAnsi="Arial"/>
          <w:sz w:val="22"/>
          <w:szCs w:val="22"/>
        </w:rPr>
        <w:t xml:space="preserve">Shalom Schwartz's circumplex model identifies 10 (refined to 19) motivationally distinct value types arranged in a circle reflecting compatibilities and conflicts. Adjacent values share motivational goals; opposing values (e.g., power vs. universalism, self-direction vs. conformity) create genuine tensions. Validated across 82+ countries with the refined PVQ-RR confirmed in 49 cultural groups (N = 53,472), this is one of the most thoroughly replicated frameworks in cross-cultural psychology.</w:t>
      </w:r>
    </w:p>
    <w:p>
      <w:pPr>
        <w:spacing w:after="160"/>
      </w:pPr>
      <w:r>
        <w:rPr>
          <w:rFonts w:ascii="Arial" w:cs="Arial" w:eastAsia="Arial" w:hAnsi="Arial"/>
          <w:sz w:val="22"/>
          <w:szCs w:val="22"/>
        </w:rPr>
        <w:t xml:space="preserve">The key design insight: values are not a buffet from which you pick freely — they form a system with inherent tensions. The circumplex tells you which values will naturally support each other and which will create friction.</w:t>
      </w:r>
    </w:p>
    <w:p>
      <w:pPr>
        <w:pStyle w:val="Heading2"/>
      </w:pPr>
      <w:r>
        <w:rPr>
          <w:rFonts w:ascii="Arial" w:cs="Arial" w:eastAsia="Arial" w:hAnsi="Arial"/>
        </w:rPr>
        <w:t xml:space="preserve">2.3 Values-Aligned Living and ACT</w:t>
      </w:r>
    </w:p>
    <w:p>
      <w:pPr>
        <w:spacing w:after="160"/>
      </w:pPr>
      <w:r>
        <w:rPr>
          <w:rFonts w:ascii="Arial" w:cs="Arial" w:eastAsia="Arial" w:hAnsi="Arial"/>
          <w:sz w:val="22"/>
          <w:szCs w:val="22"/>
        </w:rPr>
        <w:t xml:space="preserve">Values-aligned living — the degree to which behavior matches stated values — consistently predicts wellbeing across clinical and non-clinical populations. Acceptance and Commitment Therapy (ACT) places values at the center of its therapeutic model, treating them as ongoing directions rather than achievable goals. ACT's evidence base is robust (meta-analysis: Hedges' g = 0.57 across 39 RCTs). A 2025 validated Value Clarity Questionnaire showed that values clarity predicted wellbeing at one- and two-month intervals (r² = .37).</w:t>
      </w:r>
    </w:p>
    <w:p>
      <w:pPr>
        <w:pStyle w:val="Heading2"/>
      </w:pPr>
      <w:r>
        <w:rPr>
          <w:rFonts w:ascii="Arial" w:cs="Arial" w:eastAsia="Arial" w:hAnsi="Arial"/>
        </w:rPr>
        <w:t xml:space="preserve">2.4 Frankl's Logotherapy and the Meaning-Wellbeing Link</w:t>
      </w:r>
    </w:p>
    <w:p>
      <w:pPr>
        <w:spacing w:after="160"/>
      </w:pPr>
      <w:r>
        <w:rPr>
          <w:rFonts w:ascii="Arial" w:cs="Arial" w:eastAsia="Arial" w:hAnsi="Arial"/>
          <w:sz w:val="22"/>
          <w:szCs w:val="22"/>
        </w:rPr>
        <w:t xml:space="preserve">Viktor Frankl established the foundational claim that the primary human motivation is the will to meaning. He identified three pathways: creative values (what you give through work), experiential values (what you receive through encounters with beauty, truth, and love), and attitudinal values (the stance you take toward unavoidable suffering). The broader meaning-wellbeing connection is very robustly supported even where specific therapeutic techniques have moderate empirical standing.</w:t>
      </w:r>
    </w:p>
    <w:p>
      <w:pPr>
        <w:pStyle w:val="Heading2"/>
      </w:pPr>
      <w:r>
        <w:rPr>
          <w:rFonts w:ascii="Arial" w:cs="Arial" w:eastAsia="Arial" w:hAnsi="Arial"/>
        </w:rPr>
        <w:t xml:space="preserve">2.5 Meaning in Life Research</w:t>
      </w:r>
    </w:p>
    <w:p>
      <w:pPr>
        <w:spacing w:after="160"/>
      </w:pPr>
      <w:r>
        <w:rPr>
          <w:rFonts w:ascii="Arial" w:cs="Arial" w:eastAsia="Arial" w:hAnsi="Arial"/>
          <w:sz w:val="22"/>
          <w:szCs w:val="22"/>
        </w:rPr>
        <w:t xml:space="preserve">Michael Steger's Meaning in Life Questionnaire operationalized meaning with precision, distinguishing presence of meaning (strongly linked to wellbeing) from search for meaning (a more complex, sometimes distress-associated process). The MLQ has been validated across 17 countries.</w:t>
      </w:r>
    </w:p>
    <w:p>
      <w:pPr>
        <w:pStyle w:val="Heading2"/>
      </w:pPr>
      <w:r>
        <w:rPr>
          <w:rFonts w:ascii="Arial" w:cs="Arial" w:eastAsia="Arial" w:hAnsi="Arial"/>
        </w:rPr>
        <w:t xml:space="preserve">2.6 Narrative Identity</w:t>
      </w:r>
    </w:p>
    <w:p>
      <w:pPr>
        <w:spacing w:after="160"/>
      </w:pPr>
      <w:r>
        <w:rPr>
          <w:rFonts w:ascii="Arial" w:cs="Arial" w:eastAsia="Arial" w:hAnsi="Arial"/>
          <w:sz w:val="22"/>
          <w:szCs w:val="22"/>
        </w:rPr>
        <w:t xml:space="preserve">Dan McAdams' research reveals that people weave values into life stories that provide unity and purpose. Those whose stories feature redemptive sequences (bad events leading to good outcomes) show higher wellbeing, generativity, and psychological maturity. Those with contamination sequences (good turning to bad) show poorer adjustment. Jonathan Adler's research demonstrated that changes in narrative preceded symptom reduction in therapy — stories changed first; then symptoms abated.</w:t>
      </w:r>
    </w:p>
    <w:p>
      <w:pPr>
        <w:pStyle w:val="Heading2"/>
      </w:pPr>
      <w:r>
        <w:rPr>
          <w:rFonts w:ascii="Arial" w:cs="Arial" w:eastAsia="Arial" w:hAnsi="Arial"/>
        </w:rPr>
        <w:t xml:space="preserve">2.7 Core Beliefs and Identity Formation</w:t>
      </w:r>
    </w:p>
    <w:p>
      <w:pPr>
        <w:spacing w:after="160"/>
      </w:pPr>
      <w:r>
        <w:rPr>
          <w:rFonts w:ascii="Arial" w:cs="Arial" w:eastAsia="Arial" w:hAnsi="Arial"/>
          <w:sz w:val="22"/>
          <w:szCs w:val="22"/>
        </w:rPr>
        <w:t xml:space="preserve">Core beliefs — deep, often implicit assumptions about self, others, and the world — function as perceptual filters shaping what information gets attended to and how events are interpreted. Aaron Beck's cognitive model, the foundation of CBT, describes how maladaptive schemas maintain psychological disorders. James Marcia's identity status model shows that identity formation involves a dialectic between exploration (questioning alternatives) and commitment (making choices) — a process that extends well into adulthood.</w:t>
      </w:r>
    </w:p>
    <w:p>
      <w:pPr>
        <w:spacing w:after="160"/>
      </w:pPr>
      <w:r>
        <w:rPr>
          <w:rFonts w:ascii="Arial" w:cs="Arial" w:eastAsia="Arial" w:hAnsi="Arial"/>
          <w:sz w:val="22"/>
          <w:szCs w:val="22"/>
        </w:rPr>
        <w:t xml:space="preserve">Terror Management Theory, once influential in explaining how mortality awareness drives behavior, faces serious replication difficulties. Many Labs 4 (21 labs, N = 2,220) failed to replicate the core mortality salience effect. The theory remains theoretically interesting but empirically weakened.</w:t>
      </w:r>
    </w:p>
    <w:p>
      <w:pPr>
        <w:pStyle w:val="Heading2"/>
      </w:pPr>
      <w:r>
        <w:rPr>
          <w:rFonts w:ascii="Arial" w:cs="Arial" w:eastAsia="Arial" w:hAnsi="Arial"/>
        </w:rPr>
        <w:t xml:space="preserve">2.8 Validation Summary</w:t>
      </w:r>
    </w:p>
    <w:p>
      <w:pPr>
        <w:shd w:fill="F2F2F2" w:val="clear"/>
        <w:spacing w:before="120" w:after="120"/>
        <w:ind w:left="360"/>
      </w:pPr>
      <w:r>
        <w:rPr>
          <w:rFonts w:ascii="Arial" w:cs="Arial" w:eastAsia="Arial" w:hAnsi="Arial"/>
          <w:color w:val="595959"/>
          <w:sz w:val="20"/>
          <w:szCs w:val="20"/>
        </w:rPr>
        <w:t xml:space="preserve">ESTABLISHED: Schwartz values theory, Steger's MLQ, narrative identity, Beck's cognitive model, Marcia's identity statuses
ESTABLISHED FRAMEWORK / DEVELOPING MECHANISM: ACT values work
THEORETICAL FRAMEWORK WITH GROWING EMPIRICAL SUPPORT: Frankl's logotherapy
CONTESTED WITH SERIOUS REPLICATION FAILURES: Terror Management Theory</w:t>
      </w:r>
    </w:p>
    <w:p>
      <w:pPr>
        <w:pStyle w:val="Heading2"/>
      </w:pPr>
      <w:r>
        <w:rPr>
          <w:rFonts w:ascii="Arial" w:cs="Arial" w:eastAsia="Arial" w:hAnsi="Arial"/>
        </w:rPr>
        <w:t xml:space="preserve">2.9 FringeIsland Bridge — What the Whisp Should Hold</w:t>
      </w:r>
    </w:p>
    <w:p>
      <w:pPr>
        <w:shd w:fill="DEEAF1" w:val="clear"/>
        <w:spacing w:before="120" w:after="120"/>
        <w:ind w:left="360"/>
      </w:pPr>
      <w:r>
        <w:rPr>
          <w:rFonts w:ascii="Arial" w:cs="Arial" w:eastAsia="Arial" w:hAnsi="Arial"/>
          <w:color w:val="1F4E79"/>
          <w:sz w:val="20"/>
          <w:szCs w:val="20"/>
        </w:rPr>
        <w:t xml:space="preserve">The Whisp should hold a values architecture — not just a list of values but their structural relationships, tensions, and hierarchies. Meaning should appear as both presence (felt sense of coherence and purpose) and search (active questioning). The Whisp needs a narrative layer — the evolving story a person tells about who they are, where they have been, and where they are going. Redemptive narrative capacity should be a trackable developmental marker. Core beliefs should be surfaceable — the Whisp might hold a person's working models of self, others, and world, with the capacity to examine and revise them. Identity should appear not as fixed but as a dynamic process of exploration and commitment across life domains.</w:t>
      </w:r>
    </w:p>
    <w:p>
      <w:r>
        <w:br w:type="page"/>
      </w:r>
    </w:p>
    <w:p>
      <w:pPr>
        <w:pStyle w:val="Heading1"/>
      </w:pPr>
      <w:r>
        <w:rPr>
          <w:rFonts w:ascii="Arial" w:cs="Arial" w:eastAsia="Arial" w:hAnsi="Arial"/>
        </w:rPr>
        <w:t xml:space="preserve">3. Skills, Abilities, and Developmental Capacities</w:t>
      </w:r>
    </w:p>
    <w:p>
      <w:pPr>
        <w:pStyle w:val="Heading2"/>
      </w:pPr>
      <w:r>
        <w:rPr>
          <w:rFonts w:ascii="Arial" w:cs="Arial" w:eastAsia="Arial" w:hAnsi="Arial"/>
        </w:rPr>
        <w:t xml:space="preserve">3.1 Development Does Not Stop at Adulthood</w:t>
      </w:r>
    </w:p>
    <w:p>
      <w:pPr>
        <w:spacing w:after="160"/>
      </w:pPr>
      <w:r>
        <w:rPr>
          <w:rFonts w:ascii="Arial" w:cs="Arial" w:eastAsia="Arial" w:hAnsi="Arial"/>
          <w:sz w:val="22"/>
          <w:szCs w:val="22"/>
        </w:rPr>
        <w:t xml:space="preserve">Human development continues through qualitatively distinct stages of meaning-making complexity — and the capacities most predictive of flourishing are learnable. Adults continue developing throughout life; the research identifies which capacities are most foundational, most teachable, and most predictive of long-term thriving.</w:t>
      </w:r>
    </w:p>
    <w:p>
      <w:pPr>
        <w:pStyle w:val="Heading2"/>
      </w:pPr>
      <w:r>
        <w:rPr>
          <w:rFonts w:ascii="Arial" w:cs="Arial" w:eastAsia="Arial" w:hAnsi="Arial"/>
        </w:rPr>
        <w:t xml:space="preserve">3.2 Growth Mindset</w:t>
      </w:r>
    </w:p>
    <w:p>
      <w:pPr>
        <w:spacing w:after="160"/>
      </w:pPr>
      <w:r>
        <w:rPr>
          <w:rFonts w:ascii="Arial" w:cs="Arial" w:eastAsia="Arial" w:hAnsi="Arial"/>
          <w:sz w:val="22"/>
          <w:szCs w:val="22"/>
        </w:rPr>
        <w:t xml:space="preserve">Carol Dweck's growth mindset theory — that beliefs about the malleability of intelligence shape learning behavior — has become perhaps the most publicly visible finding in educational psychology, and also one of the most contested. The 2019 National Study of Learning Mindsets (N = 12,490, Nature) confirmed that brief interventions improved grades for lower-achieving students in supportive school contexts.</w:t>
      </w:r>
    </w:p>
    <w:p>
      <w:pPr>
        <w:spacing w:after="160"/>
      </w:pPr>
      <w:r>
        <w:rPr>
          <w:rFonts w:ascii="Arial" w:cs="Arial" w:eastAsia="Arial" w:hAnsi="Arial"/>
          <w:sz w:val="22"/>
          <w:szCs w:val="22"/>
        </w:rPr>
        <w:t xml:space="preserve">Competing meta-analyses paint a more complex picture. Macnamara and Burgoyne (2023) found an overall intervention effect of just d = 0.05 after correcting for publication bias, with highest-quality studies showing d = 0.02. The honest assessment: growth mindset as a phenomenon is real; growth mindset interventions produce small and highly heterogeneous effects that matter mainly for at-risk populations in supportive contexts.</w:t>
      </w:r>
    </w:p>
    <w:p>
      <w:pPr>
        <w:pStyle w:val="Heading2"/>
      </w:pPr>
      <w:r>
        <w:rPr>
          <w:rFonts w:ascii="Arial" w:cs="Arial" w:eastAsia="Arial" w:hAnsi="Arial"/>
        </w:rPr>
        <w:t xml:space="preserve">3.3 Self-Efficacy</w:t>
      </w:r>
    </w:p>
    <w:p>
      <w:pPr>
        <w:spacing w:after="160"/>
      </w:pPr>
      <w:r>
        <w:rPr>
          <w:rFonts w:ascii="Arial" w:cs="Arial" w:eastAsia="Arial" w:hAnsi="Arial"/>
          <w:sz w:val="22"/>
          <w:szCs w:val="22"/>
        </w:rPr>
        <w:t xml:space="preserve">Albert Bandura's self-efficacy stands on far firmer ground. The belief in one's capability to execute behaviors required to produce outcomes is the single strongest psychosocial predictor of college academic achievement, and a consistent predictor of health behavior, performance, and resilience across hundreds of studies. Bandura's four sources — mastery experiences (strongest), vicarious experiences, verbal persuasion, and physiological states — have been empirically confirmed in their hierarchical ordering. Self-efficacy is domain-specific, which limits broad generalization but increases predictive precision within domains.</w:t>
      </w:r>
    </w:p>
    <w:p>
      <w:pPr>
        <w:pStyle w:val="Heading2"/>
      </w:pPr>
      <w:r>
        <w:rPr>
          <w:rFonts w:ascii="Arial" w:cs="Arial" w:eastAsia="Arial" w:hAnsi="Arial"/>
        </w:rPr>
        <w:t xml:space="preserve">3.4 Metacognition and Self-Regulated Learning</w:t>
      </w:r>
    </w:p>
    <w:p>
      <w:pPr>
        <w:spacing w:after="160"/>
      </w:pPr>
      <w:r>
        <w:rPr>
          <w:rFonts w:ascii="Arial" w:cs="Arial" w:eastAsia="Arial" w:hAnsi="Arial"/>
          <w:sz w:val="22"/>
          <w:szCs w:val="22"/>
        </w:rPr>
        <w:t xml:space="preserve">Metacognition and self-regulated learning represent what may be the single most powerful teachable capacity for sustained development. Hattie's synthesis assigned metacognitive instruction an effect size of d = 0.69 — equivalent to a 25-percentile-point improvement. A meta-analysis of 48 interventions found effects that actually grew over time (g = 0.50 post-intervention, g = 0.63 at follow-up), suggesting metacognitive skills compound.</w:t>
      </w:r>
    </w:p>
    <w:p>
      <w:pPr>
        <w:spacing w:after="160"/>
      </w:pPr>
      <w:r>
        <w:rPr>
          <w:rFonts w:ascii="Arial" w:cs="Arial" w:eastAsia="Arial" w:hAnsi="Arial"/>
          <w:sz w:val="22"/>
          <w:szCs w:val="22"/>
        </w:rPr>
        <w:t xml:space="preserve">Barry Zimmerman's cyclical model of self-regulated learning (forethought → performance → self-reflection) describes how learners set goals, monitor progress, and adjust strategies — a process that applies across every domain of adult life.</w:t>
      </w:r>
    </w:p>
    <w:p>
      <w:pPr>
        <w:pStyle w:val="Heading2"/>
      </w:pPr>
      <w:r>
        <w:rPr>
          <w:rFonts w:ascii="Arial" w:cs="Arial" w:eastAsia="Arial" w:hAnsi="Arial"/>
        </w:rPr>
        <w:t xml:space="preserve">3.5 Emotional Intelligence</w:t>
      </w:r>
    </w:p>
    <w:p>
      <w:pPr>
        <w:spacing w:after="160"/>
      </w:pPr>
      <w:r>
        <w:rPr>
          <w:rFonts w:ascii="Arial" w:cs="Arial" w:eastAsia="Arial" w:hAnsi="Arial"/>
          <w:sz w:val="22"/>
          <w:szCs w:val="22"/>
        </w:rPr>
        <w:t xml:space="preserve">The Mayer-Salovey ability model treats emotional intelligence as a genuine intelligence — the capacity to perceive, use, understand, and manage emotions — measured through performance tests with correct answers. The Goleman mixed model combines cognitive abilities with personality traits and is enormously popular in business but scientifically problematic. A 2017 meta-analysis found trait EI correlates at r ≈ .85 with a general personality factor. The ability model has cleaner scientific standing; the two models correlate only weakly with each other (r ≈ .28), meaning they measure fundamentally different constructs despite sharing a name.</w:t>
      </w:r>
    </w:p>
    <w:p>
      <w:pPr>
        <w:pStyle w:val="Heading2"/>
      </w:pPr>
      <w:r>
        <w:rPr>
          <w:rFonts w:ascii="Arial" w:cs="Arial" w:eastAsia="Arial" w:hAnsi="Arial"/>
        </w:rPr>
        <w:t xml:space="preserve">3.6 Adult Developmental Stage Models</w:t>
      </w:r>
    </w:p>
    <w:p>
      <w:pPr>
        <w:pStyle w:val="Heading3"/>
      </w:pPr>
      <w:r>
        <w:rPr>
          <w:rFonts w:ascii="Arial" w:cs="Arial" w:eastAsia="Arial" w:hAnsi="Arial"/>
        </w:rPr>
        <w:t xml:space="preserve">3.6.1 Kegan's Constructive-Developmental Theory</w:t>
      </w:r>
    </w:p>
    <w:p>
      <w:pPr>
        <w:spacing w:after="160"/>
      </w:pPr>
      <w:r>
        <w:rPr>
          <w:rFonts w:ascii="Arial" w:cs="Arial" w:eastAsia="Arial" w:hAnsi="Arial"/>
          <w:sz w:val="22"/>
          <w:szCs w:val="22"/>
        </w:rPr>
        <w:t xml:space="preserve">Robert Kegan's theory proposes five orders of consciousness, from impulsive through socialized, self-authoring, to self-transforming. Research suggests 43–46% of adults operate at the socialized order or the transition toward self-authoring. Very few reach the self-transforming order. Kegan's theory is conceptually powerful but rests on a limited empirical base — the Subject-Object Interview is labor-intensive and difficult to scale.</w:t>
      </w:r>
    </w:p>
    <w:p>
      <w:pPr>
        <w:pStyle w:val="Heading3"/>
      </w:pPr>
      <w:r>
        <w:rPr>
          <w:rFonts w:ascii="Arial" w:cs="Arial" w:eastAsia="Arial" w:hAnsi="Arial"/>
        </w:rPr>
        <w:t xml:space="preserve">3.6.2 Loevinger's Ego Development</w:t>
      </w:r>
    </w:p>
    <w:p>
      <w:pPr>
        <w:spacing w:after="160"/>
      </w:pPr>
      <w:r>
        <w:rPr>
          <w:rFonts w:ascii="Arial" w:cs="Arial" w:eastAsia="Arial" w:hAnsi="Arial"/>
          <w:sz w:val="22"/>
          <w:szCs w:val="22"/>
        </w:rPr>
        <w:t xml:space="preserve">Jane Loevinger's ego development theory, assessed by the Washington University Sentence Completion Test across 350+ empirical studies, provides more robust measurement of a similar developmental trajectory. The theory describes increasing capacity for complexity, self-awareness, and tolerance of ambiguity. Susanne Cook-Greuter and Bill Torbert extended these frameworks into leadership development, though with progressively thinner evidence bases for later stages.</w:t>
      </w:r>
    </w:p>
    <w:p>
      <w:pPr>
        <w:pStyle w:val="Heading2"/>
      </w:pPr>
      <w:r>
        <w:rPr>
          <w:rFonts w:ascii="Arial" w:cs="Arial" w:eastAsia="Arial" w:hAnsi="Arial"/>
        </w:rPr>
        <w:t xml:space="preserve">3.7 Validation Summary</w:t>
      </w:r>
    </w:p>
    <w:p>
      <w:pPr>
        <w:shd w:fill="F2F2F2" w:val="clear"/>
        <w:spacing w:before="120" w:after="120"/>
        <w:ind w:left="360"/>
      </w:pPr>
      <w:r>
        <w:rPr>
          <w:rFonts w:ascii="Arial" w:cs="Arial" w:eastAsia="Arial" w:hAnsi="Arial"/>
          <w:color w:val="595959"/>
          <w:sz w:val="20"/>
          <w:szCs w:val="20"/>
        </w:rPr>
        <w:t xml:space="preserve">ESTABLISHED: Self-efficacy (Bandura), metacognition and SRL (Zimmerman), Loevinger's ego development
WIDELY USED BUT CONTESTED (small, heterogeneous effects): Growth mindset interventions
ESTABLISHED CONSTRUCT / CONTESTED FRAMING: Ability EI (Mayer-Salovey); mixed/trait EI contested
THEORETICAL WITH MODERATE EMPIRICAL SUPPORT: Kegan's CDT
LIMITED EMPIRICAL BASE: Cook-Greuter and Torbert extensions</w:t>
      </w:r>
    </w:p>
    <w:p>
      <w:pPr>
        <w:pStyle w:val="Heading2"/>
      </w:pPr>
      <w:r>
        <w:rPr>
          <w:rFonts w:ascii="Arial" w:cs="Arial" w:eastAsia="Arial" w:hAnsi="Arial"/>
        </w:rPr>
        <w:t xml:space="preserve">3.8 FringeIsland Bridge — What the Whisp Should Hold</w:t>
      </w:r>
    </w:p>
    <w:p>
      <w:pPr>
        <w:shd w:fill="DEEAF1" w:val="clear"/>
        <w:spacing w:before="120" w:after="120"/>
        <w:ind w:left="360"/>
      </w:pPr>
      <w:r>
        <w:rPr>
          <w:rFonts w:ascii="Arial" w:cs="Arial" w:eastAsia="Arial" w:hAnsi="Arial"/>
          <w:color w:val="1F4E79"/>
          <w:sz w:val="20"/>
          <w:szCs w:val="20"/>
        </w:rPr>
        <w:t xml:space="preserve">The Whisp should track developmental capacities at multiple levels. At the foundation: metacognitive awareness, domain-specific self-efficacy built through mastery experiences, and emotional intelligence as ability (perceiving, understanding, managing emotions). At a deeper structural level, the Whisp should be sensitive to developmental stage — the complexity of meaning-making a person brings to their experience. Growth in the Whisp should look less like accumulating knowledge and more like increasing the complexity and flexibility with which a person can engage their world. The Whisp should not impose growth mindset as ideology but should track the more robust underlying constructs: willingness to engage challenge, metacognitive self-regulation, and domain-specific self-efficacy built through genuine mastery experiences.</w:t>
      </w:r>
    </w:p>
    <w:p>
      <w:r>
        <w:br w:type="page"/>
      </w:r>
    </w:p>
    <w:p>
      <w:pPr>
        <w:pStyle w:val="Heading1"/>
      </w:pPr>
      <w:r>
        <w:rPr>
          <w:rFonts w:ascii="Arial" w:cs="Arial" w:eastAsia="Arial" w:hAnsi="Arial"/>
        </w:rPr>
        <w:t xml:space="preserve">4. Social and Relational Dimensions</w:t>
      </w:r>
    </w:p>
    <w:p>
      <w:pPr>
        <w:pStyle w:val="Heading2"/>
      </w:pPr>
      <w:r>
        <w:rPr>
          <w:rFonts w:ascii="Arial" w:cs="Arial" w:eastAsia="Arial" w:hAnsi="Arial"/>
        </w:rPr>
        <w:t xml:space="preserve">4.1 Belonging as Foundation</w:t>
      </w:r>
    </w:p>
    <w:p>
      <w:pPr>
        <w:spacing w:after="160"/>
      </w:pPr>
      <w:r>
        <w:rPr>
          <w:rFonts w:ascii="Arial" w:cs="Arial" w:eastAsia="Arial" w:hAnsi="Arial"/>
          <w:sz w:val="22"/>
          <w:szCs w:val="22"/>
        </w:rPr>
        <w:t xml:space="preserve">The social dimension of flourishing is not a nice-to-have supplement to individual development — it is foundational. The convergence of evidence across evolutionary psychology, longitudinal health research, and social neuroscience points to a single conclusion: the quality of a person's relationships is the strongest predictor of long-term health and happiness that science has identified.</w:t>
      </w:r>
    </w:p>
    <w:p>
      <w:pPr>
        <w:pStyle w:val="Heading2"/>
      </w:pPr>
      <w:r>
        <w:rPr>
          <w:rFonts w:ascii="Arial" w:cs="Arial" w:eastAsia="Arial" w:hAnsi="Arial"/>
        </w:rPr>
        <w:t xml:space="preserve">4.2 The Belongingness Hypothesis</w:t>
      </w:r>
    </w:p>
    <w:p>
      <w:pPr>
        <w:spacing w:after="160"/>
      </w:pPr>
      <w:r>
        <w:rPr>
          <w:rFonts w:ascii="Arial" w:cs="Arial" w:eastAsia="Arial" w:hAnsi="Arial"/>
          <w:sz w:val="22"/>
          <w:szCs w:val="22"/>
        </w:rPr>
        <w:t xml:space="preserve">Baumeister and Leary's belongingness hypothesis (1995, ~30,000 citations) argued that the need to belong is a fundamental human motivation on par with survival needs, requiring both frequent positive interactions and stable relational bonds characterized by mutual concern. Julianne Holt-Lunstad's landmark meta-analyses found that strong social relationships predict a 50% increased likelihood of survival (148 studies, 308,849 participants) — an effect comparable to quitting smoking. Social isolation increases mortality risk by 29%. The U.S. Surgeon General's 2023 advisory declared loneliness a public health epidemic, noting that roughly half of American adults experience measurable loneliness.</w:t>
      </w:r>
    </w:p>
    <w:p>
      <w:pPr>
        <w:pStyle w:val="Heading2"/>
      </w:pPr>
      <w:r>
        <w:rPr>
          <w:rFonts w:ascii="Arial" w:cs="Arial" w:eastAsia="Arial" w:hAnsi="Arial"/>
        </w:rPr>
        <w:t xml:space="preserve">4.3 The Harvard Study of Adult Development</w:t>
      </w:r>
    </w:p>
    <w:p>
      <w:pPr>
        <w:spacing w:after="160"/>
      </w:pPr>
      <w:r>
        <w:rPr>
          <w:rFonts w:ascii="Arial" w:cs="Arial" w:eastAsia="Arial" w:hAnsi="Arial"/>
          <w:sz w:val="22"/>
          <w:szCs w:val="22"/>
        </w:rPr>
        <w:t xml:space="preserve">The world's longest longitudinal study of adult development (85+ years, Robert Waldinger) found that relationship satisfaction at age 50 was a better predictor of physical health at age 80 than cholesterol levels. Close relationships protect against mental and physical decline better than social class, IQ, or genes. John Gottman's four decades of observational research identified contempt as the single greatest predictor of relationship dissolution, and established that stable relationships maintain at least five positive interactions for every negative one during conflict.</w:t>
      </w:r>
    </w:p>
    <w:p>
      <w:pPr>
        <w:spacing w:after="160"/>
      </w:pPr>
      <w:r>
        <w:rPr>
          <w:rFonts w:ascii="Arial" w:cs="Arial" w:eastAsia="Arial" w:hAnsi="Arial"/>
          <w:sz w:val="22"/>
          <w:szCs w:val="22"/>
        </w:rPr>
        <w:t xml:space="preserve">Robin Dunbar's social brain research suggests humans maintain a layered network — roughly 5 intimate contacts, 15 close friends, 50 casual friends, and 150 active relationships — with 60% of social media time going to just the innermost 5.</w:t>
      </w:r>
    </w:p>
    <w:p>
      <w:pPr>
        <w:pStyle w:val="Heading2"/>
      </w:pPr>
      <w:r>
        <w:rPr>
          <w:rFonts w:ascii="Arial" w:cs="Arial" w:eastAsia="Arial" w:hAnsi="Arial"/>
        </w:rPr>
        <w:t xml:space="preserve">4.4 Attachment Theory in Adulthood</w:t>
      </w:r>
    </w:p>
    <w:p>
      <w:pPr>
        <w:spacing w:after="160"/>
      </w:pPr>
      <w:r>
        <w:rPr>
          <w:rFonts w:ascii="Arial" w:cs="Arial" w:eastAsia="Arial" w:hAnsi="Arial"/>
          <w:sz w:val="22"/>
          <w:szCs w:val="22"/>
        </w:rPr>
        <w:t xml:space="preserve">Attachment theory, extended from Bowlby's evolutionary framework to adult relationships by Hazan and Shaver (1987), identifies two fundamental dimensions — attachment anxiety (fear of rejection) and attachment avoidance (discomfort with closeness) — that predict mental health outcomes across a meta-analysis of 245 samples (N = 79,722). Crucially, attachment styles are not fixed. The concept of earned secure attachment describes individuals who experienced insecure childhood attachment but developed security through therapy, reflective functioning, and subsequent secure relationships.</w:t>
      </w:r>
    </w:p>
    <w:p>
      <w:pPr>
        <w:pStyle w:val="Heading2"/>
      </w:pPr>
      <w:r>
        <w:rPr>
          <w:rFonts w:ascii="Arial" w:cs="Arial" w:eastAsia="Arial" w:hAnsi="Arial"/>
        </w:rPr>
        <w:t xml:space="preserve">4.5 Generativity</w:t>
      </w:r>
    </w:p>
    <w:p>
      <w:pPr>
        <w:spacing w:after="160"/>
      </w:pPr>
      <w:r>
        <w:rPr>
          <w:rFonts w:ascii="Arial" w:cs="Arial" w:eastAsia="Arial" w:hAnsi="Arial"/>
          <w:sz w:val="22"/>
          <w:szCs w:val="22"/>
        </w:rPr>
        <w:t xml:space="preserve">Generativity — Erikson's concept of concern for establishing and guiding the next generation — represents the social dimension's developmental edge. Dan McAdams' empirical work shows generative concern predicts life satisfaction, eudaimonic wellbeing, and reduced depression. Longitudinal data shows generativity predicts smaller increases in disability with aging. Notably, high generative concern without corresponding action can actually increase depression — the gap between caring and doing matters.</w:t>
      </w:r>
    </w:p>
    <w:p>
      <w:pPr>
        <w:pStyle w:val="Heading2"/>
      </w:pPr>
      <w:r>
        <w:rPr>
          <w:rFonts w:ascii="Arial" w:cs="Arial" w:eastAsia="Arial" w:hAnsi="Arial"/>
        </w:rPr>
        <w:t xml:space="preserve">4.6 Compassion and Prosocial Behavior</w:t>
      </w:r>
    </w:p>
    <w:p>
      <w:pPr>
        <w:spacing w:after="160"/>
      </w:pPr>
      <w:r>
        <w:rPr>
          <w:rFonts w:ascii="Arial" w:cs="Arial" w:eastAsia="Arial" w:hAnsi="Arial"/>
          <w:sz w:val="22"/>
          <w:szCs w:val="22"/>
        </w:rPr>
        <w:t xml:space="preserve">Singer and Klimecki's neuroimaging work showed that empathy training and compassion training activate different neural networks — empathy engages pain circuits while compassion activates reward and affiliation circuits. Compassion training serves as an antidote to empathic burnout. Kristin Neff's self-compassion research shows strong associations with wellbeing (meta-analytic r = .47) and unique predictive validity beyond self-esteem, without the downsides of narcissism. Prosocial behavior benefits the giver: spending money on others produces greater happiness than spending on oneself, an effect replicated cross-culturally.</w:t>
      </w:r>
    </w:p>
    <w:p>
      <w:pPr>
        <w:pStyle w:val="Heading2"/>
      </w:pPr>
      <w:r>
        <w:rPr>
          <w:rFonts w:ascii="Arial" w:cs="Arial" w:eastAsia="Arial" w:hAnsi="Arial"/>
        </w:rPr>
        <w:t xml:space="preserve">4.7 Validation Summary</w:t>
      </w:r>
    </w:p>
    <w:p>
      <w:pPr>
        <w:shd w:fill="F2F2F2" w:val="clear"/>
        <w:spacing w:before="120" w:after="120"/>
        <w:ind w:left="360"/>
      </w:pPr>
      <w:r>
        <w:rPr>
          <w:rFonts w:ascii="Arial" w:cs="Arial" w:eastAsia="Arial" w:hAnsi="Arial"/>
          <w:color w:val="595959"/>
          <w:sz w:val="20"/>
          <w:szCs w:val="20"/>
        </w:rPr>
        <w:t xml:space="preserve">ESTABLISHED: Belongingness hypothesis, Holt-Lunstad mortality meta-analyses, attachment theory, self-compassion
ESTABLISHED WITH ORIGINAL SAMPLE LIMITATIONS: Harvard Study findings
ESTABLISHED FRAMEWORK / SPECIFIC RATIOS CONTESTED: Gottman's four horsemen
EMERGING: Earned secure attachment
ESTABLISHED: Generativity-wellbeing links</w:t>
      </w:r>
    </w:p>
    <w:p>
      <w:pPr>
        <w:pStyle w:val="Heading2"/>
      </w:pPr>
      <w:r>
        <w:rPr>
          <w:rFonts w:ascii="Arial" w:cs="Arial" w:eastAsia="Arial" w:hAnsi="Arial"/>
        </w:rPr>
        <w:t xml:space="preserve">4.8 FringeIsland Bridge — What the Whisp Should Hold</w:t>
      </w:r>
    </w:p>
    <w:p>
      <w:pPr>
        <w:shd w:fill="DEEAF1" w:val="clear"/>
        <w:spacing w:before="120" w:after="120"/>
        <w:ind w:left="360"/>
      </w:pPr>
      <w:r>
        <w:rPr>
          <w:rFonts w:ascii="Arial" w:cs="Arial" w:eastAsia="Arial" w:hAnsi="Arial"/>
          <w:color w:val="1F4E79"/>
          <w:sz w:val="20"/>
          <w:szCs w:val="20"/>
        </w:rPr>
        <w:t xml:space="preserve">The Whisp must be fundamentally relational, not just individual. It should track attachment patterns (not as fixed labels but as evolving dimensions of anxiety and avoidance), the quality and depth of social connections across Dunbar's layers, and the development of compassion as distinct from empathy. Generativity — the capacity and action of contributing beyond oneself — should be a visible developmental trajectory, tracking not just concern but actual generative behavior. Self-compassion should appear as a learnable capacity that supports all other growth. Belonging is not an outcome of development but a condition for it — and relationships are both something a person has and something a person does, requiring ongoing skill, attention, and commitment.</w:t>
      </w:r>
    </w:p>
    <w:p>
      <w:r>
        <w:br w:type="page"/>
      </w:r>
    </w:p>
    <w:p>
      <w:pPr>
        <w:pStyle w:val="Heading1"/>
      </w:pPr>
      <w:r>
        <w:rPr>
          <w:rFonts w:ascii="Arial" w:cs="Arial" w:eastAsia="Arial" w:hAnsi="Arial"/>
        </w:rPr>
        <w:t xml:space="preserve">5. Embodied, Material, and Transcendent Dimensions</w:t>
      </w:r>
    </w:p>
    <w:p>
      <w:pPr>
        <w:pStyle w:val="Heading2"/>
      </w:pPr>
      <w:r>
        <w:rPr>
          <w:rFonts w:ascii="Arial" w:cs="Arial" w:eastAsia="Arial" w:hAnsi="Arial"/>
        </w:rPr>
        <w:t xml:space="preserve">5.1 Physical Health and Psychological Flourishing</w:t>
      </w:r>
    </w:p>
    <w:p>
      <w:pPr>
        <w:spacing w:after="160"/>
      </w:pPr>
      <w:r>
        <w:rPr>
          <w:rFonts w:ascii="Arial" w:cs="Arial" w:eastAsia="Arial" w:hAnsi="Arial"/>
          <w:sz w:val="22"/>
          <w:szCs w:val="22"/>
        </w:rPr>
        <w:t xml:space="preserve">Physical health is not merely a backdrop to psychological flourishing — the two are bidirectionally causally linked. A 2024 network meta-analysis (218 RCTs, 14,170 participants, BMJ) found that exercise reduces depression at levels comparable to cognitive-behavioral therapy, with dance producing large effects and walking, yoga, and strength training producing moderate reductions. Sleep deprivation impairs emotional regulation at the neural level, weakening prefrontal-amygdala connectivity. A 2023 meta-analysis confirmed that all forms of sleep loss reduce positive affect, increase anxiety, and elevate emotional reactivity.</w:t>
      </w:r>
    </w:p>
    <w:p>
      <w:pPr>
        <w:spacing w:after="160"/>
      </w:pPr>
      <w:r>
        <w:rPr>
          <w:rFonts w:ascii="Arial" w:cs="Arial" w:eastAsia="Arial" w:hAnsi="Arial"/>
          <w:sz w:val="22"/>
          <w:szCs w:val="22"/>
        </w:rPr>
        <w:t xml:space="preserve">The emerging field of nutritional psychiatry (Felice Jacka's SMILES trial, 2017) has demonstrated that dietary improvement can reduce depressive symptoms, though the evidence base is still building from epidemiological associations toward established causation.</w:t>
      </w:r>
    </w:p>
    <w:p>
      <w:pPr>
        <w:pStyle w:val="Heading2"/>
      </w:pPr>
      <w:r>
        <w:rPr>
          <w:rFonts w:ascii="Arial" w:cs="Arial" w:eastAsia="Arial" w:hAnsi="Arial"/>
        </w:rPr>
        <w:t xml:space="preserve">5.2 Financial and Material Security</w:t>
      </w:r>
    </w:p>
    <w:p>
      <w:pPr>
        <w:spacing w:after="160"/>
      </w:pPr>
      <w:r>
        <w:rPr>
          <w:rFonts w:ascii="Arial" w:cs="Arial" w:eastAsia="Arial" w:hAnsi="Arial"/>
          <w:sz w:val="22"/>
          <w:szCs w:val="22"/>
        </w:rPr>
        <w:t xml:space="preserve">Maslow's strict sequential hierarchy — physiological needs must be met before safety, which must be met before belonging — has not been empirically supported. Tay and Diener (2011), examining 123 countries, found that people routinely pursue higher-order needs while lower-level needs remain unmet. But the underlying insight that material security matters is robust. The landmark 2023 adversarial collaboration between Killingsworth and Kahneman found that for the majority of people (~85%), happiness continues to rise with income well beyond $100,000, but for the unhappiest 15–20%, it plateaus around that threshold. Money matters most for reducing unhappiness among those who are suffering. Relative deprivation — how one's standing compares to reference groups — adds a social dimension that pure income measures miss.</w:t>
      </w:r>
    </w:p>
    <w:p>
      <w:pPr>
        <w:pStyle w:val="Heading2"/>
      </w:pPr>
      <w:r>
        <w:rPr>
          <w:rFonts w:ascii="Arial" w:cs="Arial" w:eastAsia="Arial" w:hAnsi="Arial"/>
        </w:rPr>
        <w:t xml:space="preserve">5.3 Spiritual and Transcendent Dimensions</w:t>
      </w:r>
    </w:p>
    <w:p>
      <w:pPr>
        <w:spacing w:after="160"/>
      </w:pPr>
      <w:r>
        <w:rPr>
          <w:rFonts w:ascii="Arial" w:cs="Arial" w:eastAsia="Arial" w:hAnsi="Arial"/>
          <w:sz w:val="22"/>
          <w:szCs w:val="22"/>
        </w:rPr>
        <w:t xml:space="preserve">Kenneth Pargament's research distinguishes positive religious coping (spiritual support-seeking, benevolent reappraisals) from negative religious coping (punishing God reappraisals, spiritual discontent), and longitudinal evidence confirms these differentially predict health outcomes. The distinction between institutional religiosity and personal spirituality matters: both predict wellbeing but through different mechanisms, and spirituality operates even in non-religious individuals.</w:t>
      </w:r>
    </w:p>
    <w:p>
      <w:pPr>
        <w:spacing w:after="160"/>
      </w:pPr>
      <w:r>
        <w:rPr>
          <w:rFonts w:ascii="Arial" w:cs="Arial" w:eastAsia="Arial" w:hAnsi="Arial"/>
          <w:sz w:val="22"/>
          <w:szCs w:val="22"/>
        </w:rPr>
        <w:t xml:space="preserve">Dacher Keltner's awe research across 26 countries found that the most common source of awe was witnessing moral courage in others — not nature or God — and that awe reduces self-focus, increases prosocial behavior, and lowers inflammatory markers. This is rapidly growing research with converging experimental and cross-cultural evidence.</w:t>
      </w:r>
    </w:p>
    <w:p>
      <w:pPr>
        <w:spacing w:after="160"/>
      </w:pPr>
      <w:r>
        <w:rPr>
          <w:rFonts w:ascii="Arial" w:cs="Arial" w:eastAsia="Arial" w:hAnsi="Arial"/>
          <w:sz w:val="22"/>
          <w:szCs w:val="22"/>
        </w:rPr>
        <w:t xml:space="preserve">Meditation research deserves particular honesty. While mindfulness-based programs show benefits across numerous meta-analyses, Willoughby Britton's research found that 83% of participants reported at least one meditation-related side effect, with 37% experiencing functional impairment. Less than a quarter of meditation studies actively assess adverse effects.</w:t>
      </w:r>
    </w:p>
    <w:p>
      <w:pPr>
        <w:pStyle w:val="Heading2"/>
      </w:pPr>
      <w:r>
        <w:rPr>
          <w:rFonts w:ascii="Arial" w:cs="Arial" w:eastAsia="Arial" w:hAnsi="Arial"/>
        </w:rPr>
        <w:t xml:space="preserve">5.4 Character Strengths</w:t>
      </w:r>
    </w:p>
    <w:p>
      <w:pPr>
        <w:spacing w:after="160"/>
      </w:pPr>
      <w:r>
        <w:rPr>
          <w:rFonts w:ascii="Arial" w:cs="Arial" w:eastAsia="Arial" w:hAnsi="Arial"/>
          <w:sz w:val="22"/>
          <w:szCs w:val="22"/>
        </w:rPr>
        <w:t xml:space="preserve">The VIA Classification of Character Strengths (Peterson &amp; Seligman, 2004) — 24 strengths under 6 virtues, developed by reviewing philosophical and religious traditions across 2,500 years — provides a vocabulary for positive traits. Cross-cultural research across 54 nations found remarkable convergence: kindness, fairness, honesty, gratitude, and judgment were consistently the most endorsed. Using signature strengths in new ways has been linked to increased happiness. However, the six-virtue factor structure has not been reliably replicated (studies typically find 3–5 factors), and character strengths substantially overlap with Big Five personality traits.</w:t>
      </w:r>
    </w:p>
    <w:p>
      <w:pPr>
        <w:pStyle w:val="Heading2"/>
      </w:pPr>
      <w:r>
        <w:rPr>
          <w:rFonts w:ascii="Arial" w:cs="Arial" w:eastAsia="Arial" w:hAnsi="Arial"/>
        </w:rPr>
        <w:t xml:space="preserve">5.5 Autonomy and Agency</w:t>
      </w:r>
    </w:p>
    <w:p>
      <w:pPr>
        <w:spacing w:after="160"/>
      </w:pPr>
      <w:r>
        <w:rPr>
          <w:rFonts w:ascii="Arial" w:cs="Arial" w:eastAsia="Arial" w:hAnsi="Arial"/>
          <w:sz w:val="22"/>
          <w:szCs w:val="22"/>
        </w:rPr>
        <w:t xml:space="preserve">Julian Rotter's locus of control research, Seligman's learned helplessness work, and SDT's autonomy construct all converge: the experience of being an agent in one's own life — of initiating action and experiencing outcomes as connected to effort — is fundamental to wellbeing. Loss of agency is implicated in depression, PTSD, and chronic stress.</w:t>
      </w:r>
    </w:p>
    <w:p>
      <w:pPr>
        <w:pStyle w:val="Heading2"/>
      </w:pPr>
      <w:r>
        <w:rPr>
          <w:rFonts w:ascii="Arial" w:cs="Arial" w:eastAsia="Arial" w:hAnsi="Arial"/>
        </w:rPr>
        <w:t xml:space="preserve">5.6 Challenge and Productive Discomfort</w:t>
      </w:r>
    </w:p>
    <w:p>
      <w:pPr>
        <w:spacing w:after="160"/>
      </w:pPr>
      <w:r>
        <w:rPr>
          <w:rFonts w:ascii="Arial" w:cs="Arial" w:eastAsia="Arial" w:hAnsi="Arial"/>
          <w:sz w:val="22"/>
          <w:szCs w:val="22"/>
        </w:rPr>
        <w:t xml:space="preserve">Robert Bjork's desirable difficulties — spacing, interleaving, retrieval practice, generation — are among the most robustly validated learning techniques available, producing 10–50% better long-term retention. Vygotsky's zone of proximal development, Csikszentmihalyi's challenge-skill balance, and the Yerkes-Dodson inverted-U all describe the same principle: growth happens at the edge of current capability, with adequate support, not in comfort.</w:t>
      </w:r>
    </w:p>
    <w:p>
      <w:pPr>
        <w:spacing w:after="160"/>
      </w:pPr>
      <w:r>
        <w:rPr>
          <w:rFonts w:ascii="Arial" w:cs="Arial" w:eastAsia="Arial" w:hAnsi="Arial"/>
          <w:sz w:val="22"/>
          <w:szCs w:val="22"/>
        </w:rPr>
        <w:t xml:space="preserve">Nassim Taleb's 'antifragile' concept resonates with empirically established phenomena like hormesis and post-traumatic growth, but lacks direct empirical validation as a psychological construct. The practical principle is well-supported even if Taleb's specific framing remains philosophical.</w:t>
      </w:r>
    </w:p>
    <w:p>
      <w:pPr>
        <w:pStyle w:val="Heading2"/>
      </w:pPr>
      <w:r>
        <w:rPr>
          <w:rFonts w:ascii="Arial" w:cs="Arial" w:eastAsia="Arial" w:hAnsi="Arial"/>
        </w:rPr>
        <w:t xml:space="preserve">5.7 Validation Summary</w:t>
      </w:r>
    </w:p>
    <w:p>
      <w:pPr>
        <w:shd w:fill="F2F2F2" w:val="clear"/>
        <w:spacing w:before="120" w:after="120"/>
        <w:ind w:left="360"/>
      </w:pPr>
      <w:r>
        <w:rPr>
          <w:rFonts w:ascii="Arial" w:cs="Arial" w:eastAsia="Arial" w:hAnsi="Arial"/>
          <w:color w:val="595959"/>
          <w:sz w:val="20"/>
          <w:szCs w:val="20"/>
        </w:rPr>
        <w:t xml:space="preserve">ESTABLISHED: Exercise-mental health link, sleep-cognition link, locus of control, SDT autonomy, desirable difficulties, Killingsworth-Kahneman income resolution
WEAK EMPIRICAL BASE: Maslow's strict hierarchy
EMERGING: Nutritional psychiatry, awe research
MODERATE SUPPORT WITH METHODOLOGICAL CONCERNS: Meditation benefits
MODERATE EVIDENCE / FACTOR STRUCTURE CONTESTED: VIA character strengths
THEORETICAL: Antifragility as psychological construct</w:t>
      </w:r>
    </w:p>
    <w:p>
      <w:pPr>
        <w:pStyle w:val="Heading2"/>
      </w:pPr>
      <w:r>
        <w:rPr>
          <w:rFonts w:ascii="Arial" w:cs="Arial" w:eastAsia="Arial" w:hAnsi="Arial"/>
        </w:rPr>
        <w:t xml:space="preserve">5.8 FringeIsland Bridge — What the Whisp Should Hold</w:t>
      </w:r>
    </w:p>
    <w:p>
      <w:pPr>
        <w:shd w:fill="DEEAF1" w:val="clear"/>
        <w:spacing w:before="120" w:after="120"/>
        <w:ind w:left="360"/>
      </w:pPr>
      <w:r>
        <w:rPr>
          <w:rFonts w:ascii="Arial" w:cs="Arial" w:eastAsia="Arial" w:hAnsi="Arial"/>
          <w:color w:val="1F4E79"/>
          <w:sz w:val="20"/>
          <w:szCs w:val="20"/>
        </w:rPr>
        <w:t xml:space="preserve">The Whisp must acknowledge embodiment — physical health, sleep, movement, and nutrition are not separate from psychological development but bidirectionally causally connected. Material security should appear as a foundation that, once adequate, shifts in relative importance. Character strengths offer a vocabulary the Whisp can use to help members articulate and develop positive traits. Agency and autonomy should be trackable as both an experience (do I feel in control?) and a developing capacity (can I initiate action aligned with my values?). Most importantly, the Whisp should incorporate a growth edge — a visible representation of productive discomfort. Growth doesn't come from consuming content in one's comfort zone. The Whisp should make the growth edge visible and inviting rather than threatening.</w:t>
      </w:r>
    </w:p>
    <w:p>
      <w:r>
        <w:br w:type="page"/>
      </w:r>
    </w:p>
    <w:p>
      <w:pPr>
        <w:pStyle w:val="Heading1"/>
      </w:pPr>
      <w:r>
        <w:rPr>
          <w:rFonts w:ascii="Arial" w:cs="Arial" w:eastAsia="Arial" w:hAnsi="Arial"/>
        </w:rPr>
        <w:t xml:space="preserve">6. An Integrated Developmental Architecture</w:t>
      </w:r>
    </w:p>
    <w:p>
      <w:pPr>
        <w:pStyle w:val="Heading2"/>
      </w:pPr>
      <w:r>
        <w:rPr>
          <w:rFonts w:ascii="Arial" w:cs="Arial" w:eastAsia="Arial" w:hAnsi="Arial"/>
        </w:rPr>
        <w:t xml:space="preserve">6.1 The Dimensions Are Not Parallel Tracks</w:t>
      </w:r>
    </w:p>
    <w:p>
      <w:pPr>
        <w:spacing w:after="160"/>
      </w:pPr>
      <w:r>
        <w:rPr>
          <w:rFonts w:ascii="Arial" w:cs="Arial" w:eastAsia="Arial" w:hAnsi="Arial"/>
          <w:sz w:val="22"/>
          <w:szCs w:val="22"/>
        </w:rPr>
        <w:t xml:space="preserve">The five dimensions reviewed above are not parallel tracks — they interact, reinforce, and sometimes constrain each other in systematic ways. A developmental platform that treats them as separate modules will miss the most important dynamics. What follows is a proposed integrative architecture for the Whisp, grounded in the strongest findings across all domains.</w:t>
      </w:r>
    </w:p>
    <w:p>
      <w:pPr>
        <w:pStyle w:val="Heading2"/>
      </w:pPr>
      <w:r>
        <w:rPr>
          <w:rFonts w:ascii="Arial" w:cs="Arial" w:eastAsia="Arial" w:hAnsi="Arial"/>
        </w:rPr>
        <w:t xml:space="preserve">6.2 Three Foundational Systems</w:t>
      </w:r>
    </w:p>
    <w:p>
      <w:pPr>
        <w:spacing w:after="160"/>
      </w:pPr>
      <w:r>
        <w:rPr>
          <w:rFonts w:ascii="Arial" w:cs="Arial" w:eastAsia="Arial" w:hAnsi="Arial"/>
          <w:sz w:val="22"/>
          <w:szCs w:val="22"/>
        </w:rPr>
        <w:t xml:space="preserve">Certain dimensions function as prerequisites or enablers for growth across all others. The research identifies three:</w:t>
      </w:r>
    </w:p>
    <w:p>
      <w:pPr>
        <w:pStyle w:val="Heading3"/>
      </w:pPr>
      <w:r>
        <w:rPr>
          <w:rFonts w:ascii="Arial" w:cs="Arial" w:eastAsia="Arial" w:hAnsi="Arial"/>
        </w:rPr>
        <w:t xml:space="preserve">6.2.1 Felt Safety and Material Adequacy</w:t>
      </w:r>
    </w:p>
    <w:p>
      <w:pPr>
        <w:spacing w:after="160"/>
      </w:pPr>
      <w:r>
        <w:rPr>
          <w:rFonts w:ascii="Arial" w:cs="Arial" w:eastAsia="Arial" w:hAnsi="Arial"/>
          <w:sz w:val="22"/>
          <w:szCs w:val="22"/>
        </w:rPr>
        <w:t xml:space="preserve">SDT's relatedness need, attachment security, and basic material sufficiency form the ground on which all other development occurs. A person experiencing chronic financial stress, social isolation, or attachment insecurity will have diminished capacity for the metacognitive reflection, values exploration, and challenge-seeking that higher-order development requires. These foundations matter enormously even though people can and do pursue growth before they are fully secured.</w:t>
      </w:r>
    </w:p>
    <w:p>
      <w:pPr>
        <w:pStyle w:val="Heading3"/>
      </w:pPr>
      <w:r>
        <w:rPr>
          <w:rFonts w:ascii="Arial" w:cs="Arial" w:eastAsia="Arial" w:hAnsi="Arial"/>
        </w:rPr>
        <w:t xml:space="preserve">6.2.2 Basic Emotional Regulation</w:t>
      </w:r>
    </w:p>
    <w:p>
      <w:pPr>
        <w:spacing w:after="160"/>
      </w:pPr>
      <w:r>
        <w:rPr>
          <w:rFonts w:ascii="Arial" w:cs="Arial" w:eastAsia="Arial" w:hAnsi="Arial"/>
          <w:sz w:val="22"/>
          <w:szCs w:val="22"/>
        </w:rPr>
        <w:t xml:space="preserve">The ability to manage emotional states sufficiently to engage with challenge rather than being overwhelmed by it. This capacity is upstream of nearly everything else: you cannot engage in metacognitive reflection, values-aligned action, or genuine relational intimacy without sufficient emotional regulation. Building a repertoire and the meta-awareness to deploy it contextually is more important than any single technique.</w:t>
      </w:r>
    </w:p>
    <w:p>
      <w:pPr>
        <w:pStyle w:val="Heading3"/>
      </w:pPr>
      <w:r>
        <w:rPr>
          <w:rFonts w:ascii="Arial" w:cs="Arial" w:eastAsia="Arial" w:hAnsi="Arial"/>
        </w:rPr>
        <w:t xml:space="preserve">6.2.3 Social Connection and Belonging</w:t>
      </w:r>
    </w:p>
    <w:p>
      <w:pPr>
        <w:spacing w:after="160"/>
      </w:pPr>
      <w:r>
        <w:rPr>
          <w:rFonts w:ascii="Arial" w:cs="Arial" w:eastAsia="Arial" w:hAnsi="Arial"/>
          <w:sz w:val="22"/>
          <w:szCs w:val="22"/>
        </w:rPr>
        <w:t xml:space="preserve">The belongingness research, attachment literature, and mortality meta-analyses converge: connection is not a feature of flourishing — it is the soil in which flourishing grows. The Holt-Lunstad finding (50% mortality risk increase from social disconnection) and the Harvard Study's 85 years of data make this arguably the single most practically important finding in the entire wellbeing literature.</w:t>
      </w:r>
    </w:p>
    <w:p>
      <w:pPr>
        <w:pStyle w:val="Heading2"/>
      </w:pPr>
      <w:r>
        <w:rPr>
          <w:rFonts w:ascii="Arial" w:cs="Arial" w:eastAsia="Arial" w:hAnsi="Arial"/>
        </w:rPr>
        <w:t xml:space="preserve">6.3 Four Developmental Engines</w:t>
      </w:r>
    </w:p>
    <w:p>
      <w:pPr>
        <w:spacing w:after="160"/>
      </w:pPr>
      <w:r>
        <w:rPr>
          <w:rFonts w:ascii="Arial" w:cs="Arial" w:eastAsia="Arial" w:hAnsi="Arial"/>
          <w:sz w:val="22"/>
          <w:szCs w:val="22"/>
        </w:rPr>
        <w:t xml:space="preserve">With foundations in place, four processes drive ongoing development:</w:t>
      </w:r>
    </w:p>
    <w:p>
      <w:pPr>
        <w:pStyle w:val="Heading3"/>
      </w:pPr>
      <w:r>
        <w:rPr>
          <w:rFonts w:ascii="Arial" w:cs="Arial" w:eastAsia="Arial" w:hAnsi="Arial"/>
        </w:rPr>
        <w:t xml:space="preserve">6.3.1 Meaning-Making and Values Alignment</w:t>
      </w:r>
    </w:p>
    <w:p>
      <w:pPr>
        <w:spacing w:after="160"/>
      </w:pPr>
      <w:r>
        <w:rPr>
          <w:rFonts w:ascii="Arial" w:cs="Arial" w:eastAsia="Arial" w:hAnsi="Arial"/>
          <w:sz w:val="22"/>
          <w:szCs w:val="22"/>
        </w:rPr>
        <w:t xml:space="preserve">The Schwartz circumplex provides the map; Steger's presence-and-search distinction provides the compass; McAdams' narrative identity provides the integrative vehicle. Values clarity → values-aligned action → experienced meaning forms a robust cycle. The Whisp should track this cycle and its integrity over time.</w:t>
      </w:r>
    </w:p>
    <w:p>
      <w:pPr>
        <w:pStyle w:val="Heading3"/>
      </w:pPr>
      <w:r>
        <w:rPr>
          <w:rFonts w:ascii="Arial" w:cs="Arial" w:eastAsia="Arial" w:hAnsi="Arial"/>
        </w:rPr>
        <w:t xml:space="preserve">6.3.2 Metacognitive Self-Regulation</w:t>
      </w:r>
    </w:p>
    <w:p>
      <w:pPr>
        <w:spacing w:after="160"/>
      </w:pPr>
      <w:r>
        <w:rPr>
          <w:rFonts w:ascii="Arial" w:cs="Arial" w:eastAsia="Arial" w:hAnsi="Arial"/>
          <w:sz w:val="22"/>
          <w:szCs w:val="22"/>
        </w:rPr>
        <w:t xml:space="preserve">Zimmerman's forethought → performance → self-reflection cycle is the engine of all deliberate growth. Combined with Bandura's self-efficacy (built primarily through mastery experiences), this creates a self-reinforcing system: metacognitive planning → effortful engagement → success → increased self-efficacy → higher-quality planning. This cycle is the most teachable and highest-leverage capacity identified in the research.</w:t>
      </w:r>
    </w:p>
    <w:p>
      <w:pPr>
        <w:pStyle w:val="Heading3"/>
      </w:pPr>
      <w:r>
        <w:rPr>
          <w:rFonts w:ascii="Arial" w:cs="Arial" w:eastAsia="Arial" w:hAnsi="Arial"/>
        </w:rPr>
        <w:t xml:space="preserve">6.3.3 Challenge at the Growth Edge</w:t>
      </w:r>
    </w:p>
    <w:p>
      <w:pPr>
        <w:spacing w:after="160"/>
      </w:pPr>
      <w:r>
        <w:rPr>
          <w:rFonts w:ascii="Arial" w:cs="Arial" w:eastAsia="Arial" w:hAnsi="Arial"/>
          <w:sz w:val="22"/>
          <w:szCs w:val="22"/>
        </w:rPr>
        <w:t xml:space="preserve">Bjork's desirable difficulties, Vygotsky's ZPD, and the flow channel all describe the same principle operationalized differently. The Whisp should calibrate challenge to the person's current developmental level — too little produces stagnation, too much produces overwhelm. The inverted-U relationship between stress and performance is one of the most established general principles in the research.</w:t>
      </w:r>
    </w:p>
    <w:p>
      <w:pPr>
        <w:pStyle w:val="Heading3"/>
      </w:pPr>
      <w:r>
        <w:rPr>
          <w:rFonts w:ascii="Arial" w:cs="Arial" w:eastAsia="Arial" w:hAnsi="Arial"/>
        </w:rPr>
        <w:t xml:space="preserve">6.3.4 Relational Deepening and Generativity</w:t>
      </w:r>
    </w:p>
    <w:p>
      <w:pPr>
        <w:spacing w:after="160"/>
      </w:pPr>
      <w:r>
        <w:rPr>
          <w:rFonts w:ascii="Arial" w:cs="Arial" w:eastAsia="Arial" w:hAnsi="Arial"/>
          <w:sz w:val="22"/>
          <w:szCs w:val="22"/>
        </w:rPr>
        <w:t xml:space="preserve">Development is not purely individual. Kegan's stages describe increasing capacity to hold complexity in relationship with others. Generativity research shows that contributing beyond oneself predicts wellbeing and physical health. Compassion training produces measurable neural and behavioral changes. The developmental arc moves from received connection (needing to belong) through reciprocal intimacy (mutual care) toward generative contribution (creating conditions for others' growth).</w:t>
      </w:r>
    </w:p>
    <w:p>
      <w:pPr>
        <w:pStyle w:val="Heading2"/>
      </w:pPr>
      <w:r>
        <w:rPr>
          <w:rFonts w:ascii="Arial" w:cs="Arial" w:eastAsia="Arial" w:hAnsi="Arial"/>
        </w:rPr>
        <w:t xml:space="preserve">6.4 Emergent Properties of a Well-Developing System</w:t>
      </w:r>
    </w:p>
    <w:p>
      <w:pPr>
        <w:spacing w:after="160"/>
      </w:pPr>
      <w:r>
        <w:rPr>
          <w:rFonts w:ascii="Arial" w:cs="Arial" w:eastAsia="Arial" w:hAnsi="Arial"/>
          <w:sz w:val="22"/>
          <w:szCs w:val="22"/>
        </w:rPr>
        <w:t xml:space="preserve">Certain qualities do not develop through direct pursuit but emerge when the foundational and engine systems are functioning well:</w:t>
      </w:r>
    </w:p>
    <w:p>
      <w:pPr>
        <w:pStyle w:val="Heading3"/>
      </w:pPr>
      <w:r>
        <w:rPr>
          <w:rFonts w:ascii="Arial" w:cs="Arial" w:eastAsia="Arial" w:hAnsi="Arial"/>
        </w:rPr>
        <w:t xml:space="preserve">6.4.1 Wisdom and Developmental Maturity</w:t>
      </w:r>
    </w:p>
    <w:p>
      <w:pPr>
        <w:spacing w:after="160"/>
      </w:pPr>
      <w:r>
        <w:rPr>
          <w:rFonts w:ascii="Arial" w:cs="Arial" w:eastAsia="Arial" w:hAnsi="Arial"/>
          <w:sz w:val="22"/>
          <w:szCs w:val="22"/>
        </w:rPr>
        <w:t xml:space="preserve">Kegan's self-authoring and self-transforming orders, Loevinger's autonomous and integrated stages describe what it looks like when a person can hold multiple perspectives, tolerate ambiguity, and act from internally authored values while remaining open to revision. These are not skills to train but emergent properties of sustained development across all dimensions.</w:t>
      </w:r>
    </w:p>
    <w:p>
      <w:pPr>
        <w:pStyle w:val="Heading3"/>
      </w:pPr>
      <w:r>
        <w:rPr>
          <w:rFonts w:ascii="Arial" w:cs="Arial" w:eastAsia="Arial" w:hAnsi="Arial"/>
        </w:rPr>
        <w:t xml:space="preserve">6.4.2 Self-Transcendence and Awe</w:t>
      </w:r>
    </w:p>
    <w:p>
      <w:pPr>
        <w:spacing w:after="160"/>
      </w:pPr>
      <w:r>
        <w:rPr>
          <w:rFonts w:ascii="Arial" w:cs="Arial" w:eastAsia="Arial" w:hAnsi="Arial"/>
          <w:sz w:val="22"/>
          <w:szCs w:val="22"/>
        </w:rPr>
        <w:t xml:space="preserve">Maslow's later revision placing self-transcendence above self-actualization, Keltner's awe research, and Pargament's spiritual coping work suggest that the capacity to connect with something larger than oneself is both a predictor of wellbeing and an emergent property of developmental maturity. It should be available in the Whisp without being prescribed.</w:t>
      </w:r>
    </w:p>
    <w:p>
      <w:pPr>
        <w:pStyle w:val="Heading3"/>
      </w:pPr>
      <w:r>
        <w:rPr>
          <w:rFonts w:ascii="Arial" w:cs="Arial" w:eastAsia="Arial" w:hAnsi="Arial"/>
        </w:rPr>
        <w:t xml:space="preserve">6.4.3 Narrative Coherence</w:t>
      </w:r>
    </w:p>
    <w:p>
      <w:pPr>
        <w:spacing w:after="160"/>
      </w:pPr>
      <w:r>
        <w:rPr>
          <w:rFonts w:ascii="Arial" w:cs="Arial" w:eastAsia="Arial" w:hAnsi="Arial"/>
          <w:sz w:val="22"/>
          <w:szCs w:val="22"/>
        </w:rPr>
        <w:t xml:space="preserve">A well-functioning Whisp should, over time, develop the quality McAdams describes: a coherent, evolving life story that integrates past difficulty into present purpose and future direction. This is not something to engineer but something to observe as an indicator of healthy development.</w:t>
      </w:r>
    </w:p>
    <w:p>
      <w:pPr>
        <w:pStyle w:val="Heading2"/>
      </w:pPr>
      <w:r>
        <w:rPr>
          <w:rFonts w:ascii="Arial" w:cs="Arial" w:eastAsia="Arial" w:hAnsi="Arial"/>
        </w:rPr>
        <w:t xml:space="preserve">6.5 How the Dimensions Reinforce Each Other</w:t>
      </w:r>
    </w:p>
    <w:p>
      <w:pPr>
        <w:spacing w:after="160"/>
      </w:pPr>
      <w:r>
        <w:rPr>
          <w:rFonts w:ascii="Arial" w:cs="Arial" w:eastAsia="Arial" w:hAnsi="Arial"/>
          <w:sz w:val="22"/>
          <w:szCs w:val="22"/>
        </w:rPr>
        <w:t xml:space="preserve">The most powerful insight from this synthesis is the degree of mutual reinforcement across dimensions:</w:t>
      </w:r>
    </w:p>
    <w:p>
      <w:pPr>
        <w:pStyle w:val="ListParagraph"/>
        <w:numPr>
          <w:ilvl w:val="0"/>
          <w:numId w:val="2"/>
        </w:numPr>
      </w:pPr>
      <w:r>
        <w:rPr>
          <w:rFonts w:ascii="Arial" w:cs="Arial" w:eastAsia="Arial" w:hAnsi="Arial"/>
          <w:sz w:val="22"/>
          <w:szCs w:val="22"/>
        </w:rPr>
        <w:t xml:space="preserve">SDT's three needs (autonomy, competence, relatedness) map directly onto the competencies dimension (self-efficacy = competence) and the social dimension (relatedness = belonging)</w:t>
      </w:r>
    </w:p>
    <w:p>
      <w:pPr>
        <w:pStyle w:val="ListParagraph"/>
        <w:numPr>
          <w:ilvl w:val="0"/>
          <w:numId w:val="2"/>
        </w:numPr>
      </w:pPr>
      <w:r>
        <w:rPr>
          <w:rFonts w:ascii="Arial" w:cs="Arial" w:eastAsia="Arial" w:hAnsi="Arial"/>
          <w:sz w:val="22"/>
          <w:szCs w:val="22"/>
        </w:rPr>
        <w:t xml:space="preserve">Values clarity (Chapter 2) enables self-authoring development (Chapter 3), which enables more sophisticated relationship engagement (Chapter 4)</w:t>
      </w:r>
    </w:p>
    <w:p>
      <w:pPr>
        <w:pStyle w:val="ListParagraph"/>
        <w:numPr>
          <w:ilvl w:val="0"/>
          <w:numId w:val="2"/>
        </w:numPr>
      </w:pPr>
      <w:r>
        <w:rPr>
          <w:rFonts w:ascii="Arial" w:cs="Arial" w:eastAsia="Arial" w:hAnsi="Arial"/>
          <w:sz w:val="22"/>
          <w:szCs w:val="22"/>
        </w:rPr>
        <w:t xml:space="preserve">Physical exercise (Chapter 5) directly improves emotional regulation (Chapter 1), which enables challenge engagement, which builds self-efficacy (Chapter 3)</w:t>
      </w:r>
    </w:p>
    <w:p>
      <w:pPr>
        <w:pStyle w:val="ListParagraph"/>
        <w:numPr>
          <w:ilvl w:val="0"/>
          <w:numId w:val="2"/>
        </w:numPr>
      </w:pPr>
      <w:r>
        <w:rPr>
          <w:rFonts w:ascii="Arial" w:cs="Arial" w:eastAsia="Arial" w:hAnsi="Arial"/>
          <w:sz w:val="22"/>
          <w:szCs w:val="22"/>
        </w:rPr>
        <w:t xml:space="preserve">Secure attachment (Chapter 4) provides the safety base from which to explore values and take developmental risks (Chapters 2 and 3)</w:t>
      </w:r>
    </w:p>
    <w:p>
      <w:pPr>
        <w:pStyle w:val="ListParagraph"/>
        <w:numPr>
          <w:ilvl w:val="0"/>
          <w:numId w:val="2"/>
        </w:numPr>
      </w:pPr>
      <w:r>
        <w:rPr>
          <w:rFonts w:ascii="Arial" w:cs="Arial" w:eastAsia="Arial" w:hAnsi="Arial"/>
          <w:sz w:val="22"/>
          <w:szCs w:val="22"/>
        </w:rPr>
        <w:t xml:space="preserve">Generativity (Chapter 4) provides meaning (Chapter 2), which predicts eudaimonic wellbeing (Chapter 1)</w:t>
      </w:r>
    </w:p>
    <w:p>
      <w:pPr>
        <w:spacing w:after="120"/>
      </w:pPr>
      <w:r>
        <w:t xml:space="preserve"/>
      </w:r>
    </w:p>
    <w:p>
      <w:pPr>
        <w:spacing w:after="160"/>
      </w:pPr>
      <w:r>
        <w:rPr>
          <w:rFonts w:ascii="Arial" w:cs="Arial" w:eastAsia="Arial" w:hAnsi="Arial"/>
          <w:sz w:val="22"/>
          <w:szCs w:val="22"/>
        </w:rPr>
        <w:t xml:space="preserve">These reinforcement loops suggest the Whisp should not treat dimensions as separate progress bars but as an interconnected system where growth in one area creates conditions for growth in others.</w:t>
      </w:r>
    </w:p>
    <w:p>
      <w:pPr>
        <w:pStyle w:val="Heading2"/>
      </w:pPr>
      <w:r>
        <w:rPr>
          <w:rFonts w:ascii="Arial" w:cs="Arial" w:eastAsia="Arial" w:hAnsi="Arial"/>
        </w:rPr>
        <w:t xml:space="preserve">6.6 Open Research Questions</w:t>
      </w:r>
    </w:p>
    <w:p>
      <w:pPr>
        <w:spacing w:after="160"/>
      </w:pPr>
      <w:r>
        <w:rPr>
          <w:rFonts w:ascii="Arial" w:cs="Arial" w:eastAsia="Arial" w:hAnsi="Arial"/>
          <w:sz w:val="22"/>
          <w:szCs w:val="22"/>
        </w:rPr>
        <w:t xml:space="preserve">Several critical questions remain open and should inform FringeIsland's ongoing development:</w:t>
      </w:r>
    </w:p>
    <w:p>
      <w:pPr>
        <w:pStyle w:val="ListParagraph"/>
        <w:numPr>
          <w:ilvl w:val="0"/>
          <w:numId w:val="2"/>
        </w:numPr>
      </w:pPr>
      <w:r>
        <w:rPr>
          <w:rFonts w:ascii="Arial" w:cs="Arial" w:eastAsia="Arial" w:hAnsi="Arial"/>
          <w:sz w:val="22"/>
          <w:szCs w:val="22"/>
        </w:rPr>
        <w:t xml:space="preserve">The causal direction between narrative identity and wellbeing is not fully disentangled — do better stories produce better lives, or do better lives produce better stories?</w:t>
      </w:r>
    </w:p>
    <w:p>
      <w:pPr>
        <w:pStyle w:val="ListParagraph"/>
        <w:numPr>
          <w:ilvl w:val="0"/>
          <w:numId w:val="2"/>
        </w:numPr>
      </w:pPr>
      <w:r>
        <w:rPr>
          <w:rFonts w:ascii="Arial" w:cs="Arial" w:eastAsia="Arial" w:hAnsi="Arial"/>
          <w:sz w:val="22"/>
          <w:szCs w:val="22"/>
        </w:rPr>
        <w:t xml:space="preserve">The genuine vs. illusory nature of post-traumatic growth remains unresolved and has direct implications for how a platform should engage with adversity</w:t>
      </w:r>
    </w:p>
    <w:p>
      <w:pPr>
        <w:pStyle w:val="ListParagraph"/>
        <w:numPr>
          <w:ilvl w:val="0"/>
          <w:numId w:val="2"/>
        </w:numPr>
      </w:pPr>
      <w:r>
        <w:rPr>
          <w:rFonts w:ascii="Arial" w:cs="Arial" w:eastAsia="Arial" w:hAnsi="Arial"/>
          <w:sz w:val="22"/>
          <w:szCs w:val="22"/>
        </w:rPr>
        <w:t xml:space="preserve">Developmental stage assessment at scale is an unsolved problem — no validated self-report alternative to Kegan's SOI exists</w:t>
      </w:r>
    </w:p>
    <w:p>
      <w:pPr>
        <w:pStyle w:val="ListParagraph"/>
        <w:numPr>
          <w:ilvl w:val="0"/>
          <w:numId w:val="2"/>
        </w:numPr>
      </w:pPr>
      <w:r>
        <w:rPr>
          <w:rFonts w:ascii="Arial" w:cs="Arial" w:eastAsia="Arial" w:hAnsi="Arial"/>
          <w:sz w:val="22"/>
          <w:szCs w:val="22"/>
        </w:rPr>
        <w:t xml:space="preserve">The optimal calibration of challenge for any individual at any moment is understood in principle but not in practical implementation</w:t>
      </w:r>
    </w:p>
    <w:p>
      <w:pPr>
        <w:pStyle w:val="ListParagraph"/>
        <w:numPr>
          <w:ilvl w:val="0"/>
          <w:numId w:val="2"/>
        </w:numPr>
      </w:pPr>
      <w:r>
        <w:rPr>
          <w:rFonts w:ascii="Arial" w:cs="Arial" w:eastAsia="Arial" w:hAnsi="Arial"/>
          <w:sz w:val="22"/>
          <w:szCs w:val="22"/>
        </w:rPr>
        <w:t xml:space="preserve">Cultural variation in what flourishing means and how it manifests varies meaningfully across cultures despite structural universality in frameworks like SDT and Schwartz</w:t>
      </w:r>
    </w:p>
    <w:p>
      <w:r>
        <w:br w:type="page"/>
      </w:r>
    </w:p>
    <w:p>
      <w:pPr>
        <w:pStyle w:val="Heading1"/>
      </w:pPr>
      <w:r>
        <w:rPr>
          <w:rFonts w:ascii="Arial" w:cs="Arial" w:eastAsia="Arial" w:hAnsi="Arial"/>
        </w:rPr>
        <w:t xml:space="preserve">7. Conclusion — What Fills the Whisp</w:t>
      </w:r>
    </w:p>
    <w:p>
      <w:pPr>
        <w:spacing w:after="160"/>
      </w:pPr>
      <w:r>
        <w:rPr>
          <w:rFonts w:ascii="Arial" w:cs="Arial" w:eastAsia="Arial" w:hAnsi="Arial"/>
          <w:sz w:val="22"/>
          <w:szCs w:val="22"/>
        </w:rPr>
        <w:t xml:space="preserve">The architecture of human flourishing is not a ladder to climb or a checklist to complete. It is an interconnected, dynamic system where safety enables exploration, exploration builds capacity, capacity enables contribution, and contribution deepens meaning.</w:t>
      </w:r>
    </w:p>
    <w:p>
      <w:pPr>
        <w:spacing w:after="160"/>
      </w:pPr>
      <w:r>
        <w:rPr>
          <w:rFonts w:ascii="Arial" w:cs="Arial" w:eastAsia="Arial" w:hAnsi="Arial"/>
          <w:sz w:val="22"/>
          <w:szCs w:val="22"/>
        </w:rPr>
        <w:t xml:space="preserve">The strongest research findings point to a developmental model organized around three foundations (material security, emotional regulation, social belonging), four engines (meaning-making, metacognition, calibrated challenge, relational deepening), and emergent properties (wisdom, self-transcendence, narrative coherence) that arise when the system functions well over time.</w:t>
      </w:r>
    </w:p>
    <w:p>
      <w:pPr>
        <w:spacing w:after="160"/>
      </w:pPr>
      <w:r>
        <w:rPr>
          <w:rFonts w:ascii="Arial" w:cs="Arial" w:eastAsia="Arial" w:hAnsi="Arial"/>
          <w:sz w:val="22"/>
          <w:szCs w:val="22"/>
        </w:rPr>
        <w:t xml:space="preserve">For the Whisp, this means five concrete design principles:</w:t>
      </w:r>
    </w:p>
    <w:p>
      <w:pPr>
        <w:pStyle w:val="ListParagraph"/>
        <w:numPr>
          <w:ilvl w:val="0"/>
          <w:numId w:val="2"/>
        </w:numPr>
      </w:pPr>
      <w:r>
        <w:rPr>
          <w:rFonts w:ascii="Arial" w:cs="Arial" w:eastAsia="Arial" w:hAnsi="Arial"/>
          <w:sz w:val="22"/>
          <w:szCs w:val="22"/>
        </w:rPr>
        <w:t xml:space="preserve">Represent development as multi-dimensional and interconnected, not as separate progress tracks</w:t>
      </w:r>
    </w:p>
    <w:p>
      <w:pPr>
        <w:pStyle w:val="ListParagraph"/>
        <w:numPr>
          <w:ilvl w:val="0"/>
          <w:numId w:val="2"/>
        </w:numPr>
      </w:pPr>
      <w:r>
        <w:rPr>
          <w:rFonts w:ascii="Arial" w:cs="Arial" w:eastAsia="Arial" w:hAnsi="Arial"/>
          <w:sz w:val="22"/>
          <w:szCs w:val="22"/>
        </w:rPr>
        <w:t xml:space="preserve">Give foundational dimensions (safety, regulation, connection) appropriate weight — a Whisp with impressive skills but insecure attachment and poor emotional regulation is not actually filling well</w:t>
      </w:r>
    </w:p>
    <w:p>
      <w:pPr>
        <w:pStyle w:val="ListParagraph"/>
        <w:numPr>
          <w:ilvl w:val="0"/>
          <w:numId w:val="2"/>
        </w:numPr>
      </w:pPr>
      <w:r>
        <w:rPr>
          <w:rFonts w:ascii="Arial" w:cs="Arial" w:eastAsia="Arial" w:hAnsi="Arial"/>
          <w:sz w:val="22"/>
          <w:szCs w:val="22"/>
        </w:rPr>
        <w:t xml:space="preserve">Make the growth edge visible and inviting — frame challenge as the mechanism of growth, not an obstacle to it</w:t>
      </w:r>
    </w:p>
    <w:p>
      <w:pPr>
        <w:pStyle w:val="ListParagraph"/>
        <w:numPr>
          <w:ilvl w:val="0"/>
          <w:numId w:val="2"/>
        </w:numPr>
      </w:pPr>
      <w:r>
        <w:rPr>
          <w:rFonts w:ascii="Arial" w:cs="Arial" w:eastAsia="Arial" w:hAnsi="Arial"/>
          <w:sz w:val="22"/>
          <w:szCs w:val="22"/>
        </w:rPr>
        <w:t xml:space="preserve">Track not just what a person knows or can do but how complexly they make meaning, hold values in tension, narrate their experience, and relate to others</w:t>
      </w:r>
    </w:p>
    <w:p>
      <w:pPr>
        <w:pStyle w:val="ListParagraph"/>
        <w:numPr>
          <w:ilvl w:val="0"/>
          <w:numId w:val="2"/>
        </w:numPr>
      </w:pPr>
      <w:r>
        <w:rPr>
          <w:rFonts w:ascii="Arial" w:cs="Arial" w:eastAsia="Arial" w:hAnsi="Arial"/>
          <w:sz w:val="22"/>
          <w:szCs w:val="22"/>
        </w:rPr>
        <w:t xml:space="preserve">Hold space for emergence — wisdom, transcendence, and narrative coherence cannot be directly trained but can be recognized and honored when they appear</w:t>
      </w:r>
    </w:p>
    <w:p>
      <w:pPr>
        <w:spacing w:after="120"/>
      </w:pPr>
      <w:r>
        <w:t xml:space="preserve"/>
      </w:r>
    </w:p>
    <w:p>
      <w:pPr>
        <w:pBdr>
          <w:left w:val="single" w:color="4472C4" w:sz="6" w:space="12"/>
        </w:pBdr>
        <w:spacing w:before="120" w:after="120"/>
        <w:ind w:left="720" w:right="720"/>
      </w:pPr>
      <w:r>
        <w:rPr>
          <w:rFonts w:ascii="Arial" w:cs="Arial" w:eastAsia="Arial" w:hAnsi="Arial"/>
          <w:i/>
          <w:iCs/>
          <w:sz w:val="22"/>
          <w:szCs w:val="22"/>
        </w:rPr>
        <w:t xml:space="preserve">The Whisp begins nearly empty not because the person is empty, but because the person has not yet mapped, integrated, and made visible what they carry. Filling the Whisp is not acquisition. It is the progressive articulation, connection, and deepening of capacities that were always latent — the making visible of what was always possible. The research says, consistently, that this process never finishes. But it can become more coherent, more flexible, more generous, and more alive.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49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2026-03-20T18:26:45.767Z</dcterms:created>
  <dcterms:modified xsi:type="dcterms:W3CDTF">2026-03-20T18:26:45.769Z</dcterms:modified>
</cp:coreProperties>
</file>

<file path=docProps/custom.xml><?xml version="1.0" encoding="utf-8"?>
<Properties xmlns="http://schemas.openxmlformats.org/officeDocument/2006/custom-properties" xmlns:vt="http://schemas.openxmlformats.org/officeDocument/2006/docPropsVTypes"/>
</file>