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4E" w:rsidRPr="00C12A16" w:rsidRDefault="002E174E" w:rsidP="002E174E">
      <w:pPr>
        <w:pStyle w:val="Heading1"/>
      </w:pPr>
      <w:r w:rsidRPr="00C12A16">
        <w:t>Exercises: Regular Expressions (</w:t>
      </w:r>
      <w:proofErr w:type="spellStart"/>
      <w:r w:rsidRPr="00C12A16">
        <w:t>RegEx</w:t>
      </w:r>
      <w:proofErr w:type="spellEnd"/>
      <w:r w:rsidRPr="00C12A16">
        <w:t>)</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1303C1">
      <w:pPr>
        <w:pStyle w:val="ListParagraph"/>
        <w:numPr>
          <w:ilvl w:val="0"/>
          <w:numId w:val="32"/>
        </w:numPr>
        <w:spacing w:after="0"/>
        <w:ind w:left="765" w:hanging="357"/>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1303C1">
      <w:pPr>
        <w:pStyle w:val="ListParagraph"/>
        <w:numPr>
          <w:ilvl w:val="0"/>
          <w:numId w:val="32"/>
        </w:numPr>
        <w:spacing w:after="0"/>
        <w:ind w:left="765" w:hanging="357"/>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1303C1">
      <w:pPr>
        <w:pStyle w:val="ListParagraph"/>
        <w:numPr>
          <w:ilvl w:val="0"/>
          <w:numId w:val="32"/>
        </w:numPr>
        <w:spacing w:after="0"/>
        <w:ind w:left="765" w:hanging="357"/>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1303C1">
      <w:pPr>
        <w:pStyle w:val="ListParagraph"/>
        <w:numPr>
          <w:ilvl w:val="0"/>
          <w:numId w:val="32"/>
        </w:numPr>
        <w:spacing w:after="0"/>
        <w:ind w:left="765" w:hanging="357"/>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w:t>
      </w:r>
      <w:proofErr w:type="spellStart"/>
      <w:r w:rsidRPr="00724CBB">
        <w:rPr>
          <w:rStyle w:val="CodeChar"/>
        </w:rPr>
        <w:t>nameOfTheCity</w:t>
      </w:r>
      <w:proofErr w:type="spellEnd"/>
      <w:r w:rsidRPr="00724CBB">
        <w:rPr>
          <w:rStyle w:val="CodeChar"/>
        </w:rPr>
        <w:t>}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proofErr w:type="gramStart"/>
      <w:r w:rsidR="00206C8F">
        <w:t>“</w:t>
      </w:r>
      <w:r w:rsidR="00206C8F" w:rsidRPr="00206C8F">
        <w:rPr>
          <w:rStyle w:val="CodeChar"/>
        </w:rPr>
        <w:t xml:space="preserve"> </w:t>
      </w:r>
      <w:r w:rsidR="00D7062C" w:rsidRPr="00206C8F">
        <w:t>”</w:t>
      </w:r>
      <w:proofErr w:type="gramEnd"/>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1303C1" w:rsidRDefault="002E174E" w:rsidP="002E174E">
      <w:pPr>
        <w:rPr>
          <w:b/>
        </w:rPr>
      </w:pPr>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p>
    <w:p w:rsidR="002E174E" w:rsidRPr="00C12A16" w:rsidRDefault="007A0816" w:rsidP="001303C1">
      <w:pPr>
        <w:jc w:val="center"/>
      </w:pPr>
      <w:r w:rsidRPr="007A0816">
        <w:rPr>
          <w:rFonts w:cstheme="minorHAnsi"/>
        </w:rPr>
        <w:t>“</w:t>
      </w:r>
      <w:r w:rsidR="001303C1">
        <w:rPr>
          <w:rFonts w:cstheme="minorHAnsi"/>
        </w:rPr>
        <w:t xml:space="preserve"> </w:t>
      </w:r>
      <w:r w:rsidRPr="007A0816">
        <w:rPr>
          <w:rFonts w:cstheme="minorHAnsi"/>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bookmarkStart w:id="3" w:name="_GoBack"/>
      <w:bookmarkEnd w:id="3"/>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proofErr w:type="spellStart"/>
            <w:r w:rsidRPr="00C12A16">
              <w:rPr>
                <w:rFonts w:ascii="Consolas" w:hAnsi="Consolas" w:cs="Consolas"/>
              </w:rPr>
              <w:t>mazut</w:t>
            </w:r>
            <w:proofErr w:type="spellEnd"/>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lastRenderedPageBreak/>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lastRenderedPageBreak/>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 xml:space="preserve">from </w:t>
      </w:r>
      <w:proofErr w:type="gramStart"/>
      <w:r w:rsidRPr="00C12A16">
        <w:rPr>
          <w:b/>
        </w:rPr>
        <w:t>a to</w:t>
      </w:r>
      <w:proofErr w:type="gramEnd"/>
      <w:r w:rsidRPr="00C12A16">
        <w:rPr>
          <w:b/>
        </w:rPr>
        <w:t xml:space="preserve">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 xml:space="preserve">from </w:t>
      </w:r>
      <w:proofErr w:type="gramStart"/>
      <w:r w:rsidRPr="00C12A16">
        <w:rPr>
          <w:b/>
        </w:rPr>
        <w:t>a to</w:t>
      </w:r>
      <w:proofErr w:type="gramEnd"/>
      <w:r w:rsidRPr="00C12A16">
        <w:rPr>
          <w:b/>
        </w:rPr>
        <w:t xml:space="preserve">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lastRenderedPageBreak/>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303C1">
      <w:headerReference w:type="default" r:id="rId11"/>
      <w:footerReference w:type="default" r:id="rId12"/>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C21" w:rsidRDefault="00923C21" w:rsidP="008068A2">
      <w:pPr>
        <w:spacing w:after="0" w:line="240" w:lineRule="auto"/>
      </w:pPr>
      <w:r>
        <w:separator/>
      </w:r>
    </w:p>
  </w:endnote>
  <w:endnote w:type="continuationSeparator" w:id="0">
    <w:p w:rsidR="00923C21" w:rsidRDefault="00923C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AC77AD" w:rsidRDefault="001303C1" w:rsidP="001303C1">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1303C1" w:rsidRDefault="001303C1"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1303C1" w:rsidRDefault="001303C1"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303C1" w:rsidRDefault="001303C1"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303C1" w:rsidRDefault="001303C1"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C21" w:rsidRDefault="00923C21" w:rsidP="008068A2">
      <w:pPr>
        <w:spacing w:after="0" w:line="240" w:lineRule="auto"/>
      </w:pPr>
      <w:r>
        <w:separator/>
      </w:r>
    </w:p>
  </w:footnote>
  <w:footnote w:type="continuationSeparator" w:id="0">
    <w:p w:rsidR="00923C21" w:rsidRDefault="00923C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3C21"/>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ACE2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FD334-DD2A-468F-952E-1A24AB61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Ventsislav Ivanov</cp:lastModifiedBy>
  <cp:revision>221</cp:revision>
  <cp:lastPrinted>2015-10-26T22:35:00Z</cp:lastPrinted>
  <dcterms:created xsi:type="dcterms:W3CDTF">2016-06-17T07:37:00Z</dcterms:created>
  <dcterms:modified xsi:type="dcterms:W3CDTF">2017-09-20T14:31:00Z</dcterms:modified>
  <cp:category>programming, education, software engineering, software development</cp:category>
</cp:coreProperties>
</file>